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8EA2" w14:textId="4800B333" w:rsidR="002A0FA1" w:rsidRPr="008E6DE3" w:rsidRDefault="00000000">
      <w:pPr>
        <w:rPr>
          <w:rFonts w:ascii="Lato" w:hAnsi="Lato"/>
          <w:lang w:val="en-US"/>
        </w:rPr>
      </w:pPr>
    </w:p>
    <w:p w14:paraId="5DE77974" w14:textId="307F5F35" w:rsidR="008D2EBB" w:rsidRPr="008E6DE3" w:rsidRDefault="008D2EBB" w:rsidP="008D2EBB">
      <w:pPr>
        <w:jc w:val="right"/>
        <w:rPr>
          <w:rFonts w:ascii="Lato" w:hAnsi="Lato"/>
          <w:lang w:val="en-US"/>
        </w:rPr>
      </w:pPr>
      <w:r w:rsidRPr="008E6DE3">
        <w:rPr>
          <w:rFonts w:ascii="Lato" w:hAnsi="Lato"/>
          <w:lang w:val="en-US"/>
        </w:rPr>
        <w:t xml:space="preserve">………………………, ………………… </w:t>
      </w:r>
      <w:proofErr w:type="spellStart"/>
      <w:r w:rsidRPr="008E6DE3">
        <w:rPr>
          <w:rFonts w:ascii="Lato" w:hAnsi="Lato"/>
          <w:lang w:val="en-US"/>
        </w:rPr>
        <w:t>r.</w:t>
      </w:r>
      <w:proofErr w:type="spellEnd"/>
    </w:p>
    <w:p w14:paraId="5778E510" w14:textId="77777777" w:rsidR="008D2EBB" w:rsidRPr="008E6DE3" w:rsidRDefault="008D2EBB">
      <w:pPr>
        <w:rPr>
          <w:rFonts w:ascii="Lato" w:hAnsi="Lato"/>
          <w:lang w:val="en-US"/>
        </w:rPr>
      </w:pPr>
    </w:p>
    <w:p w14:paraId="291BFB00" w14:textId="08D33BB8" w:rsidR="008D2EBB" w:rsidRPr="008E6DE3" w:rsidRDefault="008E6DE3" w:rsidP="008D2EBB">
      <w:pPr>
        <w:jc w:val="center"/>
        <w:rPr>
          <w:rFonts w:ascii="Lato" w:hAnsi="Lato"/>
          <w:b/>
          <w:bCs/>
          <w:sz w:val="28"/>
          <w:szCs w:val="28"/>
          <w:lang w:val="en-US"/>
        </w:rPr>
      </w:pPr>
      <w:r w:rsidRPr="008E6DE3">
        <w:rPr>
          <w:rFonts w:ascii="Lato" w:hAnsi="Lato"/>
          <w:b/>
          <w:bCs/>
          <w:sz w:val="28"/>
          <w:szCs w:val="28"/>
          <w:lang w:val="en-US"/>
        </w:rPr>
        <w:t>DECLARATION BY PERSONS AUTHORIZED TO DISPOSE THE WORK</w:t>
      </w:r>
    </w:p>
    <w:p w14:paraId="62F9D6F6" w14:textId="73FFF02C" w:rsidR="008D2EBB" w:rsidRPr="008E6DE3" w:rsidRDefault="008D2EBB">
      <w:pPr>
        <w:rPr>
          <w:rFonts w:ascii="Lato" w:hAnsi="Lato"/>
          <w:lang w:val="en-US"/>
        </w:rPr>
      </w:pPr>
    </w:p>
    <w:p w14:paraId="3CADC172" w14:textId="2F2CF71F" w:rsidR="00C17774" w:rsidRPr="008E6DE3" w:rsidRDefault="008E6DE3">
      <w:pPr>
        <w:rPr>
          <w:rFonts w:ascii="Lato" w:hAnsi="Lato"/>
          <w:lang w:val="en-US"/>
        </w:rPr>
      </w:pPr>
      <w:r w:rsidRPr="008E6DE3">
        <w:rPr>
          <w:rFonts w:ascii="Lato" w:hAnsi="Lato"/>
          <w:lang w:val="en-US"/>
        </w:rPr>
        <w:t>U</w:t>
      </w:r>
      <w:r w:rsidRPr="008E6DE3">
        <w:rPr>
          <w:rFonts w:ascii="Lato" w:hAnsi="Lato"/>
          <w:lang w:val="en-US"/>
        </w:rPr>
        <w:t>ndersigned:</w:t>
      </w:r>
    </w:p>
    <w:tbl>
      <w:tblPr>
        <w:tblStyle w:val="Tabela-Siatka"/>
        <w:tblW w:w="0" w:type="auto"/>
        <w:tblLook w:val="04A0" w:firstRow="1" w:lastRow="0" w:firstColumn="1" w:lastColumn="0" w:noHBand="0" w:noVBand="1"/>
      </w:tblPr>
      <w:tblGrid>
        <w:gridCol w:w="3020"/>
        <w:gridCol w:w="3020"/>
        <w:gridCol w:w="3020"/>
      </w:tblGrid>
      <w:tr w:rsidR="00A832C7" w:rsidRPr="008E6DE3" w14:paraId="03B3288C" w14:textId="77777777" w:rsidTr="00A832C7">
        <w:tc>
          <w:tcPr>
            <w:tcW w:w="3020" w:type="dxa"/>
            <w:shd w:val="clear" w:color="auto" w:fill="D9D9D9" w:themeFill="background1" w:themeFillShade="D9"/>
            <w:vAlign w:val="center"/>
          </w:tcPr>
          <w:p w14:paraId="640FDAF0" w14:textId="7C70AE09" w:rsidR="00A832C7" w:rsidRPr="008E6DE3" w:rsidRDefault="008E6DE3" w:rsidP="00A832C7">
            <w:pPr>
              <w:jc w:val="center"/>
              <w:rPr>
                <w:rFonts w:ascii="Lato" w:hAnsi="Lato"/>
                <w:b/>
                <w:bCs/>
                <w:lang w:val="en-US"/>
              </w:rPr>
            </w:pPr>
            <w:r w:rsidRPr="008E6DE3">
              <w:rPr>
                <w:rFonts w:ascii="Lato" w:hAnsi="Lato"/>
                <w:b/>
                <w:bCs/>
                <w:lang w:val="en-US"/>
              </w:rPr>
              <w:t>Name and surname of the author/co-author</w:t>
            </w:r>
          </w:p>
        </w:tc>
        <w:tc>
          <w:tcPr>
            <w:tcW w:w="3021" w:type="dxa"/>
            <w:shd w:val="clear" w:color="auto" w:fill="D9D9D9" w:themeFill="background1" w:themeFillShade="D9"/>
            <w:vAlign w:val="center"/>
          </w:tcPr>
          <w:p w14:paraId="4F4F268B" w14:textId="61D10E55" w:rsidR="00A832C7" w:rsidRPr="008E6DE3" w:rsidRDefault="008E6DE3" w:rsidP="00A832C7">
            <w:pPr>
              <w:jc w:val="center"/>
              <w:rPr>
                <w:rFonts w:ascii="Lato" w:hAnsi="Lato"/>
                <w:b/>
                <w:bCs/>
                <w:lang w:val="en-US"/>
              </w:rPr>
            </w:pPr>
            <w:r w:rsidRPr="008E6DE3">
              <w:rPr>
                <w:rFonts w:ascii="Lato" w:hAnsi="Lato"/>
                <w:b/>
                <w:bCs/>
                <w:lang w:val="en-US"/>
              </w:rPr>
              <w:t>Affiliation</w:t>
            </w:r>
          </w:p>
        </w:tc>
        <w:tc>
          <w:tcPr>
            <w:tcW w:w="3021" w:type="dxa"/>
            <w:shd w:val="clear" w:color="auto" w:fill="D9D9D9" w:themeFill="background1" w:themeFillShade="D9"/>
            <w:vAlign w:val="center"/>
          </w:tcPr>
          <w:p w14:paraId="2A8677EA" w14:textId="1CD7A289" w:rsidR="00A832C7" w:rsidRPr="008E6DE3" w:rsidRDefault="008E6DE3" w:rsidP="00A832C7">
            <w:pPr>
              <w:jc w:val="center"/>
              <w:rPr>
                <w:rFonts w:ascii="Lato" w:hAnsi="Lato"/>
                <w:b/>
                <w:bCs/>
                <w:lang w:val="en-US"/>
              </w:rPr>
            </w:pPr>
            <w:r>
              <w:rPr>
                <w:rFonts w:ascii="Lato" w:hAnsi="Lato"/>
                <w:b/>
                <w:bCs/>
                <w:lang w:val="en-US"/>
              </w:rPr>
              <w:t>Signature</w:t>
            </w:r>
            <w:r w:rsidR="00A832C7" w:rsidRPr="008E6DE3">
              <w:rPr>
                <w:rFonts w:ascii="Lato" w:hAnsi="Lato"/>
                <w:b/>
                <w:bCs/>
                <w:lang w:val="en-US"/>
              </w:rPr>
              <w:t>*</w:t>
            </w:r>
          </w:p>
        </w:tc>
      </w:tr>
      <w:tr w:rsidR="00A832C7" w:rsidRPr="008E6DE3" w14:paraId="77DB4622" w14:textId="77777777" w:rsidTr="00A832C7">
        <w:tc>
          <w:tcPr>
            <w:tcW w:w="3020" w:type="dxa"/>
          </w:tcPr>
          <w:p w14:paraId="4625FA9E" w14:textId="77777777" w:rsidR="00A832C7" w:rsidRPr="008E6DE3" w:rsidRDefault="00A832C7">
            <w:pPr>
              <w:rPr>
                <w:rFonts w:ascii="Lato" w:hAnsi="Lato"/>
                <w:lang w:val="en-US"/>
              </w:rPr>
            </w:pPr>
          </w:p>
        </w:tc>
        <w:tc>
          <w:tcPr>
            <w:tcW w:w="3021" w:type="dxa"/>
          </w:tcPr>
          <w:p w14:paraId="3A0C68C0" w14:textId="77777777" w:rsidR="00A832C7" w:rsidRPr="008E6DE3" w:rsidRDefault="00A832C7">
            <w:pPr>
              <w:rPr>
                <w:rFonts w:ascii="Lato" w:hAnsi="Lato"/>
                <w:lang w:val="en-US"/>
              </w:rPr>
            </w:pPr>
          </w:p>
        </w:tc>
        <w:tc>
          <w:tcPr>
            <w:tcW w:w="3021" w:type="dxa"/>
          </w:tcPr>
          <w:p w14:paraId="091B5011" w14:textId="77777777" w:rsidR="00A832C7" w:rsidRPr="008E6DE3" w:rsidRDefault="00A832C7">
            <w:pPr>
              <w:rPr>
                <w:rFonts w:ascii="Lato" w:hAnsi="Lato"/>
                <w:lang w:val="en-US"/>
              </w:rPr>
            </w:pPr>
          </w:p>
        </w:tc>
      </w:tr>
      <w:tr w:rsidR="00A832C7" w:rsidRPr="008E6DE3" w14:paraId="7AA1B8C6" w14:textId="77777777" w:rsidTr="00A832C7">
        <w:tc>
          <w:tcPr>
            <w:tcW w:w="3020" w:type="dxa"/>
          </w:tcPr>
          <w:p w14:paraId="4C481911" w14:textId="77777777" w:rsidR="00A832C7" w:rsidRPr="008E6DE3" w:rsidRDefault="00A832C7">
            <w:pPr>
              <w:rPr>
                <w:rFonts w:ascii="Lato" w:hAnsi="Lato"/>
                <w:lang w:val="en-US"/>
              </w:rPr>
            </w:pPr>
          </w:p>
        </w:tc>
        <w:tc>
          <w:tcPr>
            <w:tcW w:w="3021" w:type="dxa"/>
          </w:tcPr>
          <w:p w14:paraId="04F675B3" w14:textId="77777777" w:rsidR="00A832C7" w:rsidRPr="008E6DE3" w:rsidRDefault="00A832C7">
            <w:pPr>
              <w:rPr>
                <w:rFonts w:ascii="Lato" w:hAnsi="Lato"/>
                <w:lang w:val="en-US"/>
              </w:rPr>
            </w:pPr>
          </w:p>
        </w:tc>
        <w:tc>
          <w:tcPr>
            <w:tcW w:w="3021" w:type="dxa"/>
          </w:tcPr>
          <w:p w14:paraId="7E0E034E" w14:textId="77777777" w:rsidR="00A832C7" w:rsidRPr="008E6DE3" w:rsidRDefault="00A832C7">
            <w:pPr>
              <w:rPr>
                <w:rFonts w:ascii="Lato" w:hAnsi="Lato"/>
                <w:lang w:val="en-US"/>
              </w:rPr>
            </w:pPr>
          </w:p>
        </w:tc>
      </w:tr>
      <w:tr w:rsidR="00A832C7" w:rsidRPr="008E6DE3" w14:paraId="3048D317" w14:textId="77777777" w:rsidTr="00A832C7">
        <w:tc>
          <w:tcPr>
            <w:tcW w:w="3020" w:type="dxa"/>
          </w:tcPr>
          <w:p w14:paraId="570A0AF7" w14:textId="77777777" w:rsidR="00A832C7" w:rsidRPr="008E6DE3" w:rsidRDefault="00A832C7">
            <w:pPr>
              <w:rPr>
                <w:rFonts w:ascii="Lato" w:hAnsi="Lato"/>
                <w:lang w:val="en-US"/>
              </w:rPr>
            </w:pPr>
          </w:p>
        </w:tc>
        <w:tc>
          <w:tcPr>
            <w:tcW w:w="3021" w:type="dxa"/>
          </w:tcPr>
          <w:p w14:paraId="37538A23" w14:textId="77777777" w:rsidR="00A832C7" w:rsidRPr="008E6DE3" w:rsidRDefault="00A832C7">
            <w:pPr>
              <w:rPr>
                <w:rFonts w:ascii="Lato" w:hAnsi="Lato"/>
                <w:lang w:val="en-US"/>
              </w:rPr>
            </w:pPr>
          </w:p>
        </w:tc>
        <w:tc>
          <w:tcPr>
            <w:tcW w:w="3021" w:type="dxa"/>
          </w:tcPr>
          <w:p w14:paraId="1AE7237B" w14:textId="77777777" w:rsidR="00A832C7" w:rsidRPr="008E6DE3" w:rsidRDefault="00A832C7">
            <w:pPr>
              <w:rPr>
                <w:rFonts w:ascii="Lato" w:hAnsi="Lato"/>
                <w:lang w:val="en-US"/>
              </w:rPr>
            </w:pPr>
          </w:p>
        </w:tc>
      </w:tr>
      <w:tr w:rsidR="00A832C7" w:rsidRPr="008E6DE3" w14:paraId="33C43E34" w14:textId="77777777" w:rsidTr="00A832C7">
        <w:tc>
          <w:tcPr>
            <w:tcW w:w="3020" w:type="dxa"/>
          </w:tcPr>
          <w:p w14:paraId="53E8F35B" w14:textId="77777777" w:rsidR="00A832C7" w:rsidRPr="008E6DE3" w:rsidRDefault="00A832C7">
            <w:pPr>
              <w:rPr>
                <w:rFonts w:ascii="Lato" w:hAnsi="Lato"/>
                <w:lang w:val="en-US"/>
              </w:rPr>
            </w:pPr>
          </w:p>
        </w:tc>
        <w:tc>
          <w:tcPr>
            <w:tcW w:w="3021" w:type="dxa"/>
          </w:tcPr>
          <w:p w14:paraId="2ACCD06A" w14:textId="77777777" w:rsidR="00A832C7" w:rsidRPr="008E6DE3" w:rsidRDefault="00A832C7">
            <w:pPr>
              <w:rPr>
                <w:rFonts w:ascii="Lato" w:hAnsi="Lato"/>
                <w:lang w:val="en-US"/>
              </w:rPr>
            </w:pPr>
          </w:p>
        </w:tc>
        <w:tc>
          <w:tcPr>
            <w:tcW w:w="3021" w:type="dxa"/>
          </w:tcPr>
          <w:p w14:paraId="0E642AA2" w14:textId="77777777" w:rsidR="00A832C7" w:rsidRPr="008E6DE3" w:rsidRDefault="00A832C7">
            <w:pPr>
              <w:rPr>
                <w:rFonts w:ascii="Lato" w:hAnsi="Lato"/>
                <w:lang w:val="en-US"/>
              </w:rPr>
            </w:pPr>
          </w:p>
        </w:tc>
      </w:tr>
      <w:tr w:rsidR="00A832C7" w:rsidRPr="008E6DE3" w14:paraId="1A2EEF60" w14:textId="77777777" w:rsidTr="00A832C7">
        <w:tc>
          <w:tcPr>
            <w:tcW w:w="3020" w:type="dxa"/>
          </w:tcPr>
          <w:p w14:paraId="12046381" w14:textId="77777777" w:rsidR="00A832C7" w:rsidRPr="008E6DE3" w:rsidRDefault="00A832C7">
            <w:pPr>
              <w:rPr>
                <w:rFonts w:ascii="Lato" w:hAnsi="Lato"/>
                <w:lang w:val="en-US"/>
              </w:rPr>
            </w:pPr>
          </w:p>
        </w:tc>
        <w:tc>
          <w:tcPr>
            <w:tcW w:w="3021" w:type="dxa"/>
          </w:tcPr>
          <w:p w14:paraId="4D6A076E" w14:textId="77777777" w:rsidR="00A832C7" w:rsidRPr="008E6DE3" w:rsidRDefault="00A832C7">
            <w:pPr>
              <w:rPr>
                <w:rFonts w:ascii="Lato" w:hAnsi="Lato"/>
                <w:lang w:val="en-US"/>
              </w:rPr>
            </w:pPr>
          </w:p>
        </w:tc>
        <w:tc>
          <w:tcPr>
            <w:tcW w:w="3021" w:type="dxa"/>
          </w:tcPr>
          <w:p w14:paraId="77ABF04F" w14:textId="77777777" w:rsidR="00A832C7" w:rsidRPr="008E6DE3" w:rsidRDefault="00A832C7">
            <w:pPr>
              <w:rPr>
                <w:rFonts w:ascii="Lato" w:hAnsi="Lato"/>
                <w:lang w:val="en-US"/>
              </w:rPr>
            </w:pPr>
          </w:p>
        </w:tc>
      </w:tr>
    </w:tbl>
    <w:p w14:paraId="4E183E2C" w14:textId="1A68C2BF" w:rsidR="00A832C7" w:rsidRPr="008E6DE3" w:rsidRDefault="00A832C7">
      <w:pPr>
        <w:rPr>
          <w:rFonts w:ascii="Lato" w:hAnsi="Lato"/>
          <w:sz w:val="18"/>
          <w:szCs w:val="18"/>
          <w:lang w:val="en-US"/>
        </w:rPr>
      </w:pPr>
      <w:r w:rsidRPr="008E6DE3">
        <w:rPr>
          <w:rFonts w:ascii="Lato" w:hAnsi="Lato"/>
          <w:sz w:val="18"/>
          <w:szCs w:val="18"/>
          <w:lang w:val="en-US"/>
        </w:rPr>
        <w:t xml:space="preserve">*) </w:t>
      </w:r>
      <w:r w:rsidR="008E6DE3" w:rsidRPr="008E6DE3">
        <w:rPr>
          <w:rFonts w:ascii="Lato" w:hAnsi="Lato"/>
          <w:sz w:val="18"/>
          <w:szCs w:val="18"/>
          <w:lang w:val="en-US"/>
        </w:rPr>
        <w:t>Signature of the person holding economic copyrights to the work or its part</w:t>
      </w:r>
    </w:p>
    <w:p w14:paraId="4AE2C191" w14:textId="7828C358" w:rsidR="00A832C7" w:rsidRPr="008E6DE3" w:rsidRDefault="00A832C7">
      <w:pPr>
        <w:rPr>
          <w:rFonts w:ascii="Lato" w:hAnsi="Lato"/>
          <w:lang w:val="en-US"/>
        </w:rPr>
      </w:pPr>
    </w:p>
    <w:p w14:paraId="4EDB07D8" w14:textId="0A9F10FC" w:rsidR="00A832C7" w:rsidRPr="008E6DE3" w:rsidRDefault="008E6DE3">
      <w:pPr>
        <w:rPr>
          <w:rFonts w:ascii="Lato" w:hAnsi="Lato"/>
          <w:lang w:val="en-US"/>
        </w:rPr>
      </w:pPr>
      <w:r w:rsidRPr="008E6DE3">
        <w:rPr>
          <w:rFonts w:ascii="Lato" w:hAnsi="Lato"/>
          <w:lang w:val="en-US"/>
        </w:rPr>
        <w:t>as entitled to dispose of the work entitled</w:t>
      </w:r>
    </w:p>
    <w:tbl>
      <w:tblPr>
        <w:tblStyle w:val="Tabela-Siatka"/>
        <w:tblW w:w="0" w:type="auto"/>
        <w:tblLook w:val="04A0" w:firstRow="1" w:lastRow="0" w:firstColumn="1" w:lastColumn="0" w:noHBand="0" w:noVBand="1"/>
      </w:tblPr>
      <w:tblGrid>
        <w:gridCol w:w="2263"/>
        <w:gridCol w:w="6797"/>
      </w:tblGrid>
      <w:tr w:rsidR="00A832C7" w:rsidRPr="008E6DE3" w14:paraId="0B89EC97" w14:textId="77777777" w:rsidTr="00A832C7">
        <w:tc>
          <w:tcPr>
            <w:tcW w:w="2263" w:type="dxa"/>
            <w:shd w:val="clear" w:color="auto" w:fill="D9D9D9" w:themeFill="background1" w:themeFillShade="D9"/>
          </w:tcPr>
          <w:p w14:paraId="4FD5771C" w14:textId="0415A778" w:rsidR="00A832C7" w:rsidRPr="008E6DE3" w:rsidRDefault="008E6DE3">
            <w:pPr>
              <w:rPr>
                <w:rFonts w:ascii="Lato" w:hAnsi="Lato"/>
                <w:b/>
                <w:bCs/>
                <w:lang w:val="en-US"/>
              </w:rPr>
            </w:pPr>
            <w:r w:rsidRPr="008E6DE3">
              <w:rPr>
                <w:rFonts w:ascii="Lato" w:hAnsi="Lato"/>
                <w:b/>
                <w:bCs/>
                <w:lang w:val="en-US"/>
              </w:rPr>
              <w:t xml:space="preserve">The title of the work in </w:t>
            </w:r>
            <w:r>
              <w:rPr>
                <w:rFonts w:ascii="Lato" w:hAnsi="Lato"/>
                <w:b/>
                <w:bCs/>
                <w:lang w:val="en-US"/>
              </w:rPr>
              <w:t>English</w:t>
            </w:r>
          </w:p>
        </w:tc>
        <w:tc>
          <w:tcPr>
            <w:tcW w:w="6799" w:type="dxa"/>
          </w:tcPr>
          <w:p w14:paraId="4B475B64" w14:textId="77777777" w:rsidR="00A832C7" w:rsidRPr="008E6DE3" w:rsidRDefault="00A832C7">
            <w:pPr>
              <w:rPr>
                <w:rFonts w:ascii="Lato" w:hAnsi="Lato"/>
                <w:lang w:val="en-US"/>
              </w:rPr>
            </w:pPr>
          </w:p>
        </w:tc>
      </w:tr>
      <w:tr w:rsidR="00A832C7" w:rsidRPr="008E6DE3" w14:paraId="77DC5183" w14:textId="77777777" w:rsidTr="00A832C7">
        <w:tc>
          <w:tcPr>
            <w:tcW w:w="2263" w:type="dxa"/>
            <w:shd w:val="clear" w:color="auto" w:fill="D9D9D9" w:themeFill="background1" w:themeFillShade="D9"/>
          </w:tcPr>
          <w:p w14:paraId="4546077D" w14:textId="77E51BB8" w:rsidR="00A832C7" w:rsidRPr="008E6DE3" w:rsidRDefault="008E6DE3">
            <w:pPr>
              <w:rPr>
                <w:rFonts w:ascii="Lato" w:hAnsi="Lato"/>
                <w:b/>
                <w:bCs/>
                <w:lang w:val="en-US"/>
              </w:rPr>
            </w:pPr>
            <w:r w:rsidRPr="008E6DE3">
              <w:rPr>
                <w:rFonts w:ascii="Lato" w:hAnsi="Lato"/>
                <w:b/>
                <w:bCs/>
                <w:lang w:val="en-US"/>
              </w:rPr>
              <w:t>The title of the work in Polish</w:t>
            </w:r>
          </w:p>
        </w:tc>
        <w:tc>
          <w:tcPr>
            <w:tcW w:w="6799" w:type="dxa"/>
          </w:tcPr>
          <w:p w14:paraId="2A9A2DD0" w14:textId="77777777" w:rsidR="00A832C7" w:rsidRPr="008E6DE3" w:rsidRDefault="00A832C7">
            <w:pPr>
              <w:rPr>
                <w:rFonts w:ascii="Lato" w:hAnsi="Lato"/>
                <w:lang w:val="en-US"/>
              </w:rPr>
            </w:pPr>
          </w:p>
        </w:tc>
      </w:tr>
    </w:tbl>
    <w:p w14:paraId="32AFCA88" w14:textId="77777777" w:rsidR="00A832C7" w:rsidRPr="008E6DE3" w:rsidRDefault="00A832C7">
      <w:pPr>
        <w:rPr>
          <w:rFonts w:ascii="Lato" w:hAnsi="Lato"/>
          <w:lang w:val="en-US"/>
        </w:rPr>
      </w:pPr>
    </w:p>
    <w:p w14:paraId="11FC16A6" w14:textId="637670E8" w:rsidR="00A832C7" w:rsidRPr="008E6DE3" w:rsidRDefault="008E6DE3">
      <w:pPr>
        <w:rPr>
          <w:rFonts w:ascii="Lato" w:hAnsi="Lato"/>
          <w:lang w:val="en-US"/>
        </w:rPr>
      </w:pPr>
      <w:r w:rsidRPr="008E6DE3">
        <w:rPr>
          <w:rFonts w:ascii="Lato" w:hAnsi="Lato"/>
          <w:lang w:val="en-US"/>
        </w:rPr>
        <w:t>declare that:</w:t>
      </w:r>
    </w:p>
    <w:p w14:paraId="733F57BF" w14:textId="23A60182" w:rsidR="00E41199" w:rsidRPr="008E6DE3" w:rsidRDefault="008E6DE3" w:rsidP="00E41199">
      <w:pPr>
        <w:pStyle w:val="Akapitzlist"/>
        <w:numPr>
          <w:ilvl w:val="0"/>
          <w:numId w:val="5"/>
        </w:numPr>
        <w:jc w:val="both"/>
        <w:rPr>
          <w:rFonts w:ascii="Lato" w:hAnsi="Lato"/>
          <w:lang w:val="en-US"/>
        </w:rPr>
      </w:pPr>
      <w:r w:rsidRPr="008E6DE3">
        <w:rPr>
          <w:rFonts w:ascii="Lato" w:hAnsi="Lato"/>
          <w:lang w:val="en-US"/>
        </w:rPr>
        <w:t>We are entitled to proprietary copyrights to the work in whole or in part.</w:t>
      </w:r>
    </w:p>
    <w:p w14:paraId="61C848FA" w14:textId="7E5618CC" w:rsidR="00503939" w:rsidRPr="008E6DE3" w:rsidRDefault="008E6DE3" w:rsidP="00E41199">
      <w:pPr>
        <w:pStyle w:val="Akapitzlist"/>
        <w:numPr>
          <w:ilvl w:val="0"/>
          <w:numId w:val="5"/>
        </w:numPr>
        <w:jc w:val="both"/>
        <w:rPr>
          <w:rFonts w:ascii="Lato" w:hAnsi="Lato"/>
          <w:lang w:val="en-US"/>
        </w:rPr>
      </w:pPr>
      <w:r w:rsidRPr="008E6DE3">
        <w:rPr>
          <w:rFonts w:ascii="Lato" w:hAnsi="Lato"/>
          <w:lang w:val="en-US"/>
        </w:rPr>
        <w:t>We have the right to publish the work.</w:t>
      </w:r>
    </w:p>
    <w:p w14:paraId="601622E9" w14:textId="2A9C24AE" w:rsidR="00E41199" w:rsidRPr="008E6DE3" w:rsidRDefault="008E6DE3" w:rsidP="00E41199">
      <w:pPr>
        <w:pStyle w:val="Akapitzlist"/>
        <w:numPr>
          <w:ilvl w:val="0"/>
          <w:numId w:val="5"/>
        </w:numPr>
        <w:jc w:val="both"/>
        <w:rPr>
          <w:rFonts w:ascii="Lato" w:hAnsi="Lato"/>
          <w:lang w:val="en-US"/>
        </w:rPr>
      </w:pPr>
      <w:r w:rsidRPr="008E6DE3">
        <w:rPr>
          <w:rFonts w:ascii="Lato" w:hAnsi="Lato"/>
          <w:lang w:val="en-US"/>
        </w:rPr>
        <w:t>The work does not infringe the rights of third parties and that it was created with respect for the copyrights of other authors.</w:t>
      </w:r>
    </w:p>
    <w:p w14:paraId="4C462D78" w14:textId="483203AE" w:rsidR="00E41199" w:rsidRPr="008E6DE3" w:rsidRDefault="008E6DE3" w:rsidP="00E41199">
      <w:pPr>
        <w:pStyle w:val="Akapitzlist"/>
        <w:numPr>
          <w:ilvl w:val="0"/>
          <w:numId w:val="5"/>
        </w:numPr>
        <w:jc w:val="both"/>
        <w:rPr>
          <w:rFonts w:ascii="Lato" w:hAnsi="Lato"/>
          <w:lang w:val="en-US"/>
        </w:rPr>
      </w:pPr>
      <w:r w:rsidRPr="008E6DE3">
        <w:rPr>
          <w:rFonts w:ascii="Lato" w:hAnsi="Lato"/>
          <w:lang w:val="en-US"/>
        </w:rPr>
        <w:t xml:space="preserve">The work is free from third party claims. In the event of claims by third parties, </w:t>
      </w:r>
      <w:r>
        <w:rPr>
          <w:rFonts w:ascii="Lato" w:hAnsi="Lato"/>
          <w:lang w:val="en-US"/>
        </w:rPr>
        <w:t>we</w:t>
      </w:r>
      <w:r w:rsidRPr="008E6DE3">
        <w:rPr>
          <w:rFonts w:ascii="Lato" w:hAnsi="Lato"/>
          <w:lang w:val="en-US"/>
        </w:rPr>
        <w:t xml:space="preserve"> undertake to satisfy them.</w:t>
      </w:r>
    </w:p>
    <w:p w14:paraId="52ED52A4" w14:textId="6BF012E9" w:rsidR="00653342" w:rsidRPr="008E6DE3" w:rsidRDefault="008E6DE3" w:rsidP="00653342">
      <w:pPr>
        <w:pStyle w:val="Akapitzlist"/>
        <w:numPr>
          <w:ilvl w:val="0"/>
          <w:numId w:val="5"/>
        </w:numPr>
        <w:jc w:val="both"/>
        <w:rPr>
          <w:rFonts w:ascii="Lato" w:hAnsi="Lato"/>
          <w:lang w:val="en-US"/>
        </w:rPr>
      </w:pPr>
      <w:r w:rsidRPr="008E6DE3">
        <w:rPr>
          <w:rFonts w:ascii="Lato" w:hAnsi="Lato"/>
          <w:lang w:val="en-US"/>
        </w:rPr>
        <w:t xml:space="preserve">We authorize the Plant Breeding and Acclimatization Institute </w:t>
      </w:r>
      <w:r>
        <w:rPr>
          <w:rFonts w:ascii="Lato" w:hAnsi="Lato"/>
          <w:lang w:val="en-US"/>
        </w:rPr>
        <w:t>–</w:t>
      </w:r>
      <w:r w:rsidRPr="008E6DE3">
        <w:rPr>
          <w:rFonts w:ascii="Lato" w:hAnsi="Lato"/>
          <w:lang w:val="en-US"/>
        </w:rPr>
        <w:t xml:space="preserve"> National Research Institute with its registered office in Radzików to store and archive the work on digital media</w:t>
      </w:r>
      <w:r w:rsidR="00E41199" w:rsidRPr="008E6DE3">
        <w:rPr>
          <w:rFonts w:ascii="Lato" w:hAnsi="Lato"/>
          <w:lang w:val="en-US"/>
        </w:rPr>
        <w:t>.</w:t>
      </w:r>
    </w:p>
    <w:p w14:paraId="0DBA0513" w14:textId="006B80BC" w:rsidR="00653342" w:rsidRPr="008E6DE3" w:rsidRDefault="008E6DE3" w:rsidP="00653342">
      <w:pPr>
        <w:pStyle w:val="Akapitzlist"/>
        <w:numPr>
          <w:ilvl w:val="0"/>
          <w:numId w:val="5"/>
        </w:numPr>
        <w:jc w:val="both"/>
        <w:rPr>
          <w:rFonts w:ascii="Lato" w:hAnsi="Lato"/>
          <w:lang w:val="en-US"/>
        </w:rPr>
      </w:pPr>
      <w:r w:rsidRPr="008E6DE3">
        <w:rPr>
          <w:rFonts w:ascii="Lato" w:eastAsia="Times New Roman" w:hAnsi="Lato" w:cs="Times New Roman"/>
          <w:color w:val="212529"/>
          <w:lang w:val="en-US" w:eastAsia="pl-PL"/>
        </w:rPr>
        <w:t xml:space="preserve">We </w:t>
      </w:r>
      <w:r>
        <w:rPr>
          <w:rFonts w:ascii="Lato" w:eastAsia="Times New Roman" w:hAnsi="Lato" w:cs="Times New Roman"/>
          <w:color w:val="212529"/>
          <w:lang w:val="en-US" w:eastAsia="pl-PL"/>
        </w:rPr>
        <w:t>agree</w:t>
      </w:r>
      <w:r w:rsidRPr="008E6DE3">
        <w:rPr>
          <w:rFonts w:ascii="Lato" w:eastAsia="Times New Roman" w:hAnsi="Lato" w:cs="Times New Roman"/>
          <w:color w:val="212529"/>
          <w:lang w:val="en-US" w:eastAsia="pl-PL"/>
        </w:rPr>
        <w:t xml:space="preserve"> to the publication of the work in the journal, its </w:t>
      </w:r>
      <w:r>
        <w:rPr>
          <w:rFonts w:ascii="Lato" w:eastAsia="Times New Roman" w:hAnsi="Lato" w:cs="Times New Roman"/>
          <w:color w:val="212529"/>
          <w:lang w:val="en-US" w:eastAsia="pl-PL"/>
        </w:rPr>
        <w:t>typesetting.</w:t>
      </w:r>
    </w:p>
    <w:p w14:paraId="598C4A08" w14:textId="0B362B67" w:rsidR="00653342" w:rsidRPr="008E6DE3" w:rsidRDefault="008E6DE3" w:rsidP="00653342">
      <w:pPr>
        <w:pStyle w:val="Akapitzlist"/>
        <w:numPr>
          <w:ilvl w:val="0"/>
          <w:numId w:val="5"/>
        </w:numPr>
        <w:jc w:val="both"/>
        <w:rPr>
          <w:rFonts w:ascii="Lato" w:hAnsi="Lato"/>
          <w:lang w:val="en-US"/>
        </w:rPr>
      </w:pPr>
      <w:r w:rsidRPr="008E6DE3">
        <w:rPr>
          <w:rFonts w:ascii="Lato" w:eastAsia="Times New Roman" w:hAnsi="Lato" w:cs="Times New Roman"/>
          <w:color w:val="212529"/>
          <w:lang w:val="en-US" w:eastAsia="pl-PL"/>
        </w:rPr>
        <w:t>We agree to give the publication a DOI (Digital Object Identifier)</w:t>
      </w:r>
      <w:r>
        <w:rPr>
          <w:rFonts w:ascii="Lato" w:eastAsia="Times New Roman" w:hAnsi="Lato" w:cs="Times New Roman"/>
          <w:color w:val="212529"/>
          <w:lang w:val="en-US" w:eastAsia="pl-PL"/>
        </w:rPr>
        <w:t>.</w:t>
      </w:r>
    </w:p>
    <w:p w14:paraId="4BDA6163" w14:textId="5E59AB10" w:rsidR="00653342" w:rsidRPr="008E6DE3" w:rsidRDefault="008E6DE3" w:rsidP="00653342">
      <w:pPr>
        <w:pStyle w:val="Akapitzlist"/>
        <w:numPr>
          <w:ilvl w:val="0"/>
          <w:numId w:val="5"/>
        </w:numPr>
        <w:jc w:val="both"/>
        <w:rPr>
          <w:rFonts w:ascii="Lato" w:hAnsi="Lato"/>
          <w:lang w:val="en-US"/>
        </w:rPr>
      </w:pPr>
      <w:r w:rsidRPr="008E6DE3">
        <w:rPr>
          <w:rFonts w:ascii="Lato" w:eastAsia="Times New Roman" w:hAnsi="Lato" w:cs="Times New Roman"/>
          <w:color w:val="212529"/>
          <w:lang w:val="en-US" w:eastAsia="pl-PL"/>
        </w:rPr>
        <w:t xml:space="preserve">We undertake to comply with the code of ethics developed by the Committee on Publication Ethics </w:t>
      </w:r>
      <w:r>
        <w:rPr>
          <w:rFonts w:ascii="Lato" w:eastAsia="Times New Roman" w:hAnsi="Lato" w:cs="Times New Roman"/>
          <w:color w:val="212529"/>
          <w:lang w:val="en-US" w:eastAsia="pl-PL"/>
        </w:rPr>
        <w:t>(</w:t>
      </w:r>
      <w:r w:rsidRPr="008E6DE3">
        <w:rPr>
          <w:rFonts w:ascii="Lato" w:eastAsia="Times New Roman" w:hAnsi="Lato" w:cs="Times New Roman"/>
          <w:color w:val="212529"/>
          <w:lang w:val="en-US" w:eastAsia="pl-PL"/>
        </w:rPr>
        <w:t>COPE</w:t>
      </w:r>
      <w:r>
        <w:rPr>
          <w:rFonts w:ascii="Lato" w:eastAsia="Times New Roman" w:hAnsi="Lato" w:cs="Times New Roman"/>
          <w:color w:val="212529"/>
          <w:lang w:val="en-US" w:eastAsia="pl-PL"/>
        </w:rPr>
        <w:t>).</w:t>
      </w:r>
    </w:p>
    <w:p w14:paraId="07124584" w14:textId="4E270231" w:rsidR="00653342" w:rsidRPr="008E6DE3" w:rsidRDefault="008E6DE3" w:rsidP="00653342">
      <w:pPr>
        <w:pStyle w:val="Akapitzlist"/>
        <w:numPr>
          <w:ilvl w:val="0"/>
          <w:numId w:val="5"/>
        </w:numPr>
        <w:jc w:val="both"/>
        <w:rPr>
          <w:rFonts w:ascii="Lato" w:hAnsi="Lato"/>
          <w:lang w:val="en-US"/>
        </w:rPr>
      </w:pPr>
      <w:r w:rsidRPr="008E6DE3">
        <w:rPr>
          <w:rFonts w:ascii="Lato" w:eastAsia="Times New Roman" w:hAnsi="Lato" w:cs="Times New Roman"/>
          <w:color w:val="212529"/>
          <w:lang w:val="en-US" w:eastAsia="pl-PL"/>
        </w:rPr>
        <w:t xml:space="preserve">We </w:t>
      </w:r>
      <w:r>
        <w:rPr>
          <w:rFonts w:ascii="Lato" w:eastAsia="Times New Roman" w:hAnsi="Lato" w:cs="Times New Roman"/>
          <w:color w:val="212529"/>
          <w:lang w:val="en-US" w:eastAsia="pl-PL"/>
        </w:rPr>
        <w:t>agree</w:t>
      </w:r>
      <w:r w:rsidRPr="008E6DE3">
        <w:rPr>
          <w:rFonts w:ascii="Lato" w:eastAsia="Times New Roman" w:hAnsi="Lato" w:cs="Times New Roman"/>
          <w:color w:val="212529"/>
          <w:lang w:val="en-US" w:eastAsia="pl-PL"/>
        </w:rPr>
        <w:t xml:space="preserve"> to the work being made available in whole or in part in electronic form under the CC BY-SA 4.0 license, in open access</w:t>
      </w:r>
      <w:r>
        <w:rPr>
          <w:rFonts w:ascii="Lato" w:eastAsia="Times New Roman" w:hAnsi="Lato" w:cs="Times New Roman"/>
          <w:color w:val="212529"/>
          <w:lang w:val="en-US" w:eastAsia="pl-PL"/>
        </w:rPr>
        <w:t>.</w:t>
      </w:r>
    </w:p>
    <w:p w14:paraId="068B9B93" w14:textId="5BC342A0" w:rsidR="00E41199" w:rsidRPr="008E6DE3" w:rsidRDefault="008E6DE3" w:rsidP="00653342">
      <w:pPr>
        <w:pStyle w:val="Akapitzlist"/>
        <w:numPr>
          <w:ilvl w:val="0"/>
          <w:numId w:val="5"/>
        </w:numPr>
        <w:jc w:val="both"/>
        <w:rPr>
          <w:rFonts w:ascii="Lato" w:hAnsi="Lato"/>
          <w:lang w:val="en-US"/>
        </w:rPr>
      </w:pPr>
      <w:r w:rsidRPr="008E6DE3">
        <w:rPr>
          <w:rFonts w:ascii="Lato" w:eastAsia="Times New Roman" w:hAnsi="Lato" w:cs="Times New Roman"/>
          <w:color w:val="212529"/>
          <w:lang w:val="en-US" w:eastAsia="pl-PL"/>
        </w:rPr>
        <w:t xml:space="preserve">We </w:t>
      </w:r>
      <w:r>
        <w:rPr>
          <w:rFonts w:ascii="Lato" w:eastAsia="Times New Roman" w:hAnsi="Lato" w:cs="Times New Roman"/>
          <w:color w:val="212529"/>
          <w:lang w:val="en-US" w:eastAsia="pl-PL"/>
        </w:rPr>
        <w:t>agree</w:t>
      </w:r>
      <w:r w:rsidRPr="008E6DE3">
        <w:rPr>
          <w:rFonts w:ascii="Lato" w:eastAsia="Times New Roman" w:hAnsi="Lato" w:cs="Times New Roman"/>
          <w:color w:val="212529"/>
          <w:lang w:val="en-US" w:eastAsia="pl-PL"/>
        </w:rPr>
        <w:t xml:space="preserve"> to sending article metadata to commercial and non-commercial journal indexing databases.</w:t>
      </w:r>
    </w:p>
    <w:p w14:paraId="1AD1437B" w14:textId="77777777" w:rsidR="007422BC" w:rsidRPr="007422BC" w:rsidRDefault="007422BC" w:rsidP="007422BC">
      <w:p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lastRenderedPageBreak/>
        <w:t xml:space="preserve">Upon submitting the article, the Authors grant the Publisher a non-exclusive and free license to use the article for an indefinite </w:t>
      </w:r>
      <w:proofErr w:type="gramStart"/>
      <w:r w:rsidRPr="007422BC">
        <w:rPr>
          <w:rFonts w:ascii="Lato" w:eastAsia="Times New Roman" w:hAnsi="Lato" w:cs="Times New Roman"/>
          <w:color w:val="212529"/>
          <w:lang w:val="en-US" w:eastAsia="pl-PL"/>
        </w:rPr>
        <w:t>period of time</w:t>
      </w:r>
      <w:proofErr w:type="gramEnd"/>
      <w:r w:rsidRPr="007422BC">
        <w:rPr>
          <w:rFonts w:ascii="Lato" w:eastAsia="Times New Roman" w:hAnsi="Lato" w:cs="Times New Roman"/>
          <w:color w:val="212529"/>
          <w:lang w:val="en-US" w:eastAsia="pl-PL"/>
        </w:rPr>
        <w:t xml:space="preserve"> throughout the world in the following fields of use:</w:t>
      </w:r>
    </w:p>
    <w:p w14:paraId="69167FE7" w14:textId="77777777" w:rsidR="007422BC" w:rsidRPr="007422BC" w:rsidRDefault="007422BC" w:rsidP="007422BC">
      <w:pPr>
        <w:pStyle w:val="Akapitzlist"/>
        <w:numPr>
          <w:ilvl w:val="0"/>
          <w:numId w:val="8"/>
        </w:num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t>Production and reproduction of copies of the article using a specific technique, including printing and digital technology.</w:t>
      </w:r>
    </w:p>
    <w:p w14:paraId="1F359FEE" w14:textId="77777777" w:rsidR="007422BC" w:rsidRPr="007422BC" w:rsidRDefault="007422BC" w:rsidP="007422BC">
      <w:pPr>
        <w:pStyle w:val="Akapitzlist"/>
        <w:numPr>
          <w:ilvl w:val="0"/>
          <w:numId w:val="8"/>
        </w:num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t xml:space="preserve">Placing on the market, </w:t>
      </w:r>
      <w:proofErr w:type="gramStart"/>
      <w:r w:rsidRPr="007422BC">
        <w:rPr>
          <w:rFonts w:ascii="Lato" w:eastAsia="Times New Roman" w:hAnsi="Lato" w:cs="Times New Roman"/>
          <w:color w:val="212529"/>
          <w:lang w:val="en-US" w:eastAsia="pl-PL"/>
        </w:rPr>
        <w:t>lending</w:t>
      </w:r>
      <w:proofErr w:type="gramEnd"/>
      <w:r w:rsidRPr="007422BC">
        <w:rPr>
          <w:rFonts w:ascii="Lato" w:eastAsia="Times New Roman" w:hAnsi="Lato" w:cs="Times New Roman"/>
          <w:color w:val="212529"/>
          <w:lang w:val="en-US" w:eastAsia="pl-PL"/>
        </w:rPr>
        <w:t xml:space="preserve"> or renting the original or copies of the article.</w:t>
      </w:r>
    </w:p>
    <w:p w14:paraId="67452D39" w14:textId="77777777" w:rsidR="007422BC" w:rsidRPr="007422BC" w:rsidRDefault="007422BC" w:rsidP="007422BC">
      <w:pPr>
        <w:pStyle w:val="Akapitzlist"/>
        <w:numPr>
          <w:ilvl w:val="0"/>
          <w:numId w:val="8"/>
        </w:num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t xml:space="preserve">Public performance, exhibition, display, reproduction, </w:t>
      </w:r>
      <w:proofErr w:type="gramStart"/>
      <w:r w:rsidRPr="007422BC">
        <w:rPr>
          <w:rFonts w:ascii="Lato" w:eastAsia="Times New Roman" w:hAnsi="Lato" w:cs="Times New Roman"/>
          <w:color w:val="212529"/>
          <w:lang w:val="en-US" w:eastAsia="pl-PL"/>
        </w:rPr>
        <w:t>broadcasting</w:t>
      </w:r>
      <w:proofErr w:type="gramEnd"/>
      <w:r w:rsidRPr="007422BC">
        <w:rPr>
          <w:rFonts w:ascii="Lato" w:eastAsia="Times New Roman" w:hAnsi="Lato" w:cs="Times New Roman"/>
          <w:color w:val="212529"/>
          <w:lang w:val="en-US" w:eastAsia="pl-PL"/>
        </w:rPr>
        <w:t xml:space="preserve"> and re-broadcasting, as well as making the article publicly available in such a way that everyone can access it at a place and time of their choice.</w:t>
      </w:r>
    </w:p>
    <w:p w14:paraId="63E4D3A6" w14:textId="77777777" w:rsidR="007422BC" w:rsidRPr="007422BC" w:rsidRDefault="007422BC" w:rsidP="007422BC">
      <w:pPr>
        <w:pStyle w:val="Akapitzlist"/>
        <w:numPr>
          <w:ilvl w:val="0"/>
          <w:numId w:val="8"/>
        </w:num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t>Including the article in a collective work.</w:t>
      </w:r>
    </w:p>
    <w:p w14:paraId="5C986F61" w14:textId="77777777" w:rsidR="007422BC" w:rsidRPr="007422BC" w:rsidRDefault="007422BC" w:rsidP="007422BC">
      <w:pPr>
        <w:pStyle w:val="Akapitzlist"/>
        <w:numPr>
          <w:ilvl w:val="0"/>
          <w:numId w:val="8"/>
        </w:num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t>Uploading an article in electronic form to electronic platforms or otherwise introducing an article in electronic form to the Internet or other network.</w:t>
      </w:r>
    </w:p>
    <w:p w14:paraId="5EF5C18A" w14:textId="77777777" w:rsidR="007422BC" w:rsidRPr="007422BC" w:rsidRDefault="007422BC" w:rsidP="007422BC">
      <w:pPr>
        <w:pStyle w:val="Akapitzlist"/>
        <w:numPr>
          <w:ilvl w:val="0"/>
          <w:numId w:val="8"/>
        </w:num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t>Dissemination of the article in electronic form on the Internet or other network, in collective work as well as independently.</w:t>
      </w:r>
    </w:p>
    <w:p w14:paraId="150EBB27" w14:textId="77777777" w:rsidR="007422BC" w:rsidRPr="007422BC" w:rsidRDefault="007422BC" w:rsidP="007422BC">
      <w:pPr>
        <w:pStyle w:val="Akapitzlist"/>
        <w:numPr>
          <w:ilvl w:val="0"/>
          <w:numId w:val="8"/>
        </w:numPr>
        <w:jc w:val="both"/>
        <w:rPr>
          <w:rFonts w:ascii="Lato" w:eastAsia="Times New Roman" w:hAnsi="Lato" w:cs="Times New Roman"/>
          <w:color w:val="212529"/>
          <w:lang w:val="en-US" w:eastAsia="pl-PL"/>
        </w:rPr>
      </w:pPr>
      <w:r w:rsidRPr="007422BC">
        <w:rPr>
          <w:rFonts w:ascii="Lato" w:eastAsia="Times New Roman" w:hAnsi="Lato" w:cs="Times New Roman"/>
          <w:color w:val="212529"/>
          <w:lang w:val="en-US" w:eastAsia="pl-PL"/>
        </w:rPr>
        <w:t xml:space="preserve">Providing the article in an electronic version in such a way that everyone can access it at a place and time of their choice, </w:t>
      </w:r>
      <w:proofErr w:type="gramStart"/>
      <w:r w:rsidRPr="007422BC">
        <w:rPr>
          <w:rFonts w:ascii="Lato" w:eastAsia="Times New Roman" w:hAnsi="Lato" w:cs="Times New Roman"/>
          <w:color w:val="212529"/>
          <w:lang w:val="en-US" w:eastAsia="pl-PL"/>
        </w:rPr>
        <w:t>in particular via</w:t>
      </w:r>
      <w:proofErr w:type="gramEnd"/>
      <w:r w:rsidRPr="007422BC">
        <w:rPr>
          <w:rFonts w:ascii="Lato" w:eastAsia="Times New Roman" w:hAnsi="Lato" w:cs="Times New Roman"/>
          <w:color w:val="212529"/>
          <w:lang w:val="en-US" w:eastAsia="pl-PL"/>
        </w:rPr>
        <w:t xml:space="preserve"> the Internet.</w:t>
      </w:r>
    </w:p>
    <w:p w14:paraId="4E23D046" w14:textId="4E190243" w:rsidR="00C17774" w:rsidRPr="008E6DE3" w:rsidRDefault="00C17774" w:rsidP="00653342">
      <w:pPr>
        <w:pBdr>
          <w:top w:val="single" w:sz="4" w:space="1" w:color="auto"/>
        </w:pBdr>
        <w:jc w:val="both"/>
        <w:rPr>
          <w:rFonts w:ascii="Lato" w:hAnsi="Lato"/>
          <w:sz w:val="2"/>
          <w:szCs w:val="2"/>
          <w:lang w:val="en-US"/>
        </w:rPr>
      </w:pPr>
    </w:p>
    <w:p w14:paraId="2730FF72"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The Institute declares that it is the administrator of personal data within the meaning of Regulation (EU) 2016/679 of the European Parliament and of the Council of 27 April 2016 on the protection of individuals with regard to the processing of personal data and on the free movement of such data, and repealing Directive 95/46/EC (hereinafter referred to as the GDPR) in relation to personal data contained in the submissions of proposals for publication in PBAI-NRI publications.</w:t>
      </w:r>
    </w:p>
    <w:p w14:paraId="1DC476AF"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The Institute declares that it has appointed a data protection officer who can be contacted regarding personal data via the following e-mail address: inspektor@ihar.edu.pl.</w:t>
      </w:r>
    </w:p>
    <w:p w14:paraId="1509C8E1"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Personal data will be processed in order to implement publishing processes in the field of identification and contact data categories, including in order to include the application in the publishing plan, document the course of the publishing process (Article 6(1) b, c, e of the GDPR). Providing data is voluntary, but necessary to carry out the publication process.</w:t>
      </w:r>
    </w:p>
    <w:p w14:paraId="336C2725"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The data will be processed by authorized PBAI-NRI employees involved in publishing processes. The data will not be transferred to other recipients, unless it is related to the implementation of publishing processes or the requirements of ICT service of publishing houses – in this case, data processing will be entrusted under relevant agreements.</w:t>
      </w:r>
    </w:p>
    <w:p w14:paraId="57269440"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The data will be processed throughout the publishing process, and then for the period necessary to archive the documentation. The data will be stored by the Institute for the entire period of activity of the account in the OJS system of publisher.</w:t>
      </w:r>
    </w:p>
    <w:p w14:paraId="7E1244F8"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You have the right to access your data, the right to rectify, delete, limit processing, the right to transfer data, the right to raise objections. If the processing is based on consent, you have the right to withdraw consent at any time and without giving any reason, subject to the lawfulness of processing before consent is withdrawn.</w:t>
      </w:r>
    </w:p>
    <w:p w14:paraId="1DECE99D"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If you find that the processing of data is unlawful, you also have the right to lodge a complaint with the supervisory body – the President of the Office for Personal Data Protection with its registered office in Warsaw, Poland.</w:t>
      </w:r>
    </w:p>
    <w:p w14:paraId="24CAE7E8"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Providing data is voluntary, but necessary for the effective and correct conduct of the publication process. Failure to provide data results in the inability to publish texts in PBAI-NRI publications.</w:t>
      </w:r>
    </w:p>
    <w:p w14:paraId="172F67C8"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Your personal data will not be processed for purposes related to automatic decision-making, including based on profiling. They will also not be transferred to third countries or international organizations.</w:t>
      </w:r>
    </w:p>
    <w:p w14:paraId="10AD157D" w14:textId="77777777" w:rsidR="007422BC" w:rsidRPr="007422BC" w:rsidRDefault="007422BC" w:rsidP="007422BC">
      <w:pPr>
        <w:pStyle w:val="Akapitzlist"/>
        <w:numPr>
          <w:ilvl w:val="0"/>
          <w:numId w:val="7"/>
        </w:numPr>
        <w:spacing w:line="240" w:lineRule="auto"/>
        <w:ind w:right="284"/>
        <w:jc w:val="both"/>
        <w:rPr>
          <w:rFonts w:ascii="Lato" w:hAnsi="Lato"/>
          <w:sz w:val="18"/>
          <w:szCs w:val="18"/>
          <w:shd w:val="clear" w:color="auto" w:fill="FFFFFF"/>
          <w:lang w:val="en-US"/>
        </w:rPr>
      </w:pPr>
      <w:r w:rsidRPr="007422BC">
        <w:rPr>
          <w:rFonts w:ascii="Lato" w:hAnsi="Lato"/>
          <w:sz w:val="18"/>
          <w:szCs w:val="18"/>
          <w:shd w:val="clear" w:color="auto" w:fill="FFFFFF"/>
          <w:lang w:val="en-US"/>
        </w:rPr>
        <w:t>The data contained in the publication will be generally available to all recipients who familiarize themselves with the publication.</w:t>
      </w:r>
    </w:p>
    <w:p w14:paraId="30789903" w14:textId="0DDB0A90" w:rsidR="00653342" w:rsidRPr="008E6DE3" w:rsidRDefault="00653342" w:rsidP="007422BC">
      <w:pPr>
        <w:pStyle w:val="Akapitzlist"/>
        <w:spacing w:line="240" w:lineRule="auto"/>
        <w:ind w:left="998" w:right="284"/>
        <w:jc w:val="both"/>
        <w:rPr>
          <w:rFonts w:ascii="Lato" w:hAnsi="Lato"/>
          <w:sz w:val="18"/>
          <w:szCs w:val="18"/>
          <w:lang w:val="en-US"/>
        </w:rPr>
      </w:pPr>
    </w:p>
    <w:sectPr w:rsidR="00653342" w:rsidRPr="008E6DE3" w:rsidSect="00E4119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3485" w14:textId="77777777" w:rsidR="00A12793" w:rsidRDefault="00A12793" w:rsidP="008D2EBB">
      <w:pPr>
        <w:spacing w:after="0" w:line="240" w:lineRule="auto"/>
      </w:pPr>
      <w:r>
        <w:separator/>
      </w:r>
    </w:p>
  </w:endnote>
  <w:endnote w:type="continuationSeparator" w:id="0">
    <w:p w14:paraId="3BC4DA0F" w14:textId="77777777" w:rsidR="00A12793" w:rsidRDefault="00A12793" w:rsidP="008D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889119"/>
      <w:docPartObj>
        <w:docPartGallery w:val="Page Numbers (Bottom of Page)"/>
        <w:docPartUnique/>
      </w:docPartObj>
    </w:sdtPr>
    <w:sdtContent>
      <w:p w14:paraId="1A256F45" w14:textId="528373F3" w:rsidR="00E41199" w:rsidRDefault="00E41199">
        <w:pPr>
          <w:pStyle w:val="Stopka"/>
          <w:jc w:val="center"/>
        </w:pPr>
        <w:r>
          <w:fldChar w:fldCharType="begin"/>
        </w:r>
        <w:r>
          <w:instrText>PAGE   \* MERGEFORMAT</w:instrText>
        </w:r>
        <w:r>
          <w:fldChar w:fldCharType="separate"/>
        </w:r>
        <w:r>
          <w:t>2</w:t>
        </w:r>
        <w:r>
          <w:fldChar w:fldCharType="end"/>
        </w:r>
      </w:p>
    </w:sdtContent>
  </w:sdt>
  <w:p w14:paraId="63FA7348" w14:textId="77777777" w:rsidR="00E41199" w:rsidRDefault="00E411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380738"/>
      <w:docPartObj>
        <w:docPartGallery w:val="Page Numbers (Bottom of Page)"/>
        <w:docPartUnique/>
      </w:docPartObj>
    </w:sdtPr>
    <w:sdtContent>
      <w:p w14:paraId="0E85F955" w14:textId="64785588" w:rsidR="00E41199" w:rsidRDefault="00E41199">
        <w:pPr>
          <w:pStyle w:val="Stopka"/>
          <w:jc w:val="center"/>
        </w:pPr>
        <w:r>
          <w:fldChar w:fldCharType="begin"/>
        </w:r>
        <w:r>
          <w:instrText>PAGE   \* MERGEFORMAT</w:instrText>
        </w:r>
        <w:r>
          <w:fldChar w:fldCharType="separate"/>
        </w:r>
        <w:r>
          <w:t>2</w:t>
        </w:r>
        <w:r>
          <w:fldChar w:fldCharType="end"/>
        </w:r>
      </w:p>
    </w:sdtContent>
  </w:sdt>
  <w:p w14:paraId="5654CE94" w14:textId="77777777" w:rsidR="00E41199" w:rsidRDefault="00E411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1AA0" w14:textId="77777777" w:rsidR="00A12793" w:rsidRDefault="00A12793" w:rsidP="008D2EBB">
      <w:pPr>
        <w:spacing w:after="0" w:line="240" w:lineRule="auto"/>
      </w:pPr>
      <w:r>
        <w:separator/>
      </w:r>
    </w:p>
  </w:footnote>
  <w:footnote w:type="continuationSeparator" w:id="0">
    <w:p w14:paraId="6FADD923" w14:textId="77777777" w:rsidR="00A12793" w:rsidRDefault="00A12793" w:rsidP="008D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E71D" w14:textId="309AEE4A" w:rsidR="00E41199" w:rsidRDefault="00E41199">
    <w:pPr>
      <w:pStyle w:val="Nagwek"/>
    </w:pPr>
    <w:r>
      <w:rPr>
        <w:noProof/>
      </w:rPr>
      <w:drawing>
        <wp:inline distT="0" distB="0" distL="0" distR="0" wp14:anchorId="42B44860" wp14:editId="07B481A6">
          <wp:extent cx="5759450" cy="818335"/>
          <wp:effectExtent l="0" t="0" r="0" b="127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9450" cy="818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CFA"/>
    <w:multiLevelType w:val="hybridMultilevel"/>
    <w:tmpl w:val="3FBA264A"/>
    <w:lvl w:ilvl="0" w:tplc="90C43FB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C1B39"/>
    <w:multiLevelType w:val="hybridMultilevel"/>
    <w:tmpl w:val="37C28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C915CE"/>
    <w:multiLevelType w:val="hybridMultilevel"/>
    <w:tmpl w:val="4E52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E46F3C"/>
    <w:multiLevelType w:val="multilevel"/>
    <w:tmpl w:val="1FE4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3352F"/>
    <w:multiLevelType w:val="multilevel"/>
    <w:tmpl w:val="206A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C1E4C"/>
    <w:multiLevelType w:val="hybridMultilevel"/>
    <w:tmpl w:val="695A149E"/>
    <w:lvl w:ilvl="0" w:tplc="04150011">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181F57"/>
    <w:multiLevelType w:val="hybridMultilevel"/>
    <w:tmpl w:val="FCB8A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502711"/>
    <w:multiLevelType w:val="multilevel"/>
    <w:tmpl w:val="D2D2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35361">
    <w:abstractNumId w:val="7"/>
  </w:num>
  <w:num w:numId="2" w16cid:durableId="835653304">
    <w:abstractNumId w:val="4"/>
  </w:num>
  <w:num w:numId="3" w16cid:durableId="2103185944">
    <w:abstractNumId w:val="6"/>
  </w:num>
  <w:num w:numId="4" w16cid:durableId="1081298640">
    <w:abstractNumId w:val="0"/>
  </w:num>
  <w:num w:numId="5" w16cid:durableId="1898735093">
    <w:abstractNumId w:val="5"/>
  </w:num>
  <w:num w:numId="6" w16cid:durableId="438331292">
    <w:abstractNumId w:val="3"/>
  </w:num>
  <w:num w:numId="7" w16cid:durableId="578292096">
    <w:abstractNumId w:val="2"/>
  </w:num>
  <w:num w:numId="8" w16cid:durableId="160433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BB"/>
    <w:rsid w:val="001139F0"/>
    <w:rsid w:val="001307F4"/>
    <w:rsid w:val="0016571E"/>
    <w:rsid w:val="00262BF2"/>
    <w:rsid w:val="002E4005"/>
    <w:rsid w:val="00430888"/>
    <w:rsid w:val="004630D7"/>
    <w:rsid w:val="00503939"/>
    <w:rsid w:val="00505C62"/>
    <w:rsid w:val="00592963"/>
    <w:rsid w:val="00603599"/>
    <w:rsid w:val="00607689"/>
    <w:rsid w:val="00653342"/>
    <w:rsid w:val="007422BC"/>
    <w:rsid w:val="007C5A2E"/>
    <w:rsid w:val="008D2EBB"/>
    <w:rsid w:val="008E6DE3"/>
    <w:rsid w:val="00A12793"/>
    <w:rsid w:val="00A832C7"/>
    <w:rsid w:val="00BC2D67"/>
    <w:rsid w:val="00C17774"/>
    <w:rsid w:val="00C3205B"/>
    <w:rsid w:val="00C62D20"/>
    <w:rsid w:val="00DF67AD"/>
    <w:rsid w:val="00E41199"/>
    <w:rsid w:val="00E6575B"/>
    <w:rsid w:val="00E869BC"/>
    <w:rsid w:val="00EA7B88"/>
    <w:rsid w:val="00F06FBE"/>
    <w:rsid w:val="00FB25CB"/>
    <w:rsid w:val="00FC6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654F"/>
  <w15:chartTrackingRefBased/>
  <w15:docId w15:val="{4170FEBA-ECD6-44D8-BD18-0FDB5019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2E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2EBB"/>
  </w:style>
  <w:style w:type="paragraph" w:styleId="Stopka">
    <w:name w:val="footer"/>
    <w:basedOn w:val="Normalny"/>
    <w:link w:val="StopkaZnak"/>
    <w:uiPriority w:val="99"/>
    <w:unhideWhenUsed/>
    <w:rsid w:val="008D2E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2EBB"/>
  </w:style>
  <w:style w:type="table" w:styleId="Tabela-Siatka">
    <w:name w:val="Table Grid"/>
    <w:basedOn w:val="Standardowy"/>
    <w:uiPriority w:val="39"/>
    <w:rsid w:val="00A8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411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how">
    <w:name w:val="show"/>
    <w:basedOn w:val="Normalny"/>
    <w:rsid w:val="00E411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41199"/>
    <w:pPr>
      <w:ind w:left="720"/>
      <w:contextualSpacing/>
    </w:pPr>
  </w:style>
  <w:style w:type="character" w:styleId="Hipercze">
    <w:name w:val="Hyperlink"/>
    <w:basedOn w:val="Domylnaczcionkaakapitu"/>
    <w:uiPriority w:val="99"/>
    <w:unhideWhenUsed/>
    <w:rsid w:val="00653342"/>
    <w:rPr>
      <w:color w:val="0563C1" w:themeColor="hyperlink"/>
      <w:u w:val="single"/>
    </w:rPr>
  </w:style>
  <w:style w:type="character" w:styleId="Nierozpoznanawzmianka">
    <w:name w:val="Unresolved Mention"/>
    <w:basedOn w:val="Domylnaczcionkaakapitu"/>
    <w:uiPriority w:val="99"/>
    <w:semiHidden/>
    <w:unhideWhenUsed/>
    <w:rsid w:val="00653342"/>
    <w:rPr>
      <w:color w:val="605E5C"/>
      <w:shd w:val="clear" w:color="auto" w:fill="E1DFDD"/>
    </w:rPr>
  </w:style>
  <w:style w:type="paragraph" w:styleId="Poprawka">
    <w:name w:val="Revision"/>
    <w:hidden/>
    <w:uiPriority w:val="99"/>
    <w:semiHidden/>
    <w:rsid w:val="00503939"/>
    <w:pPr>
      <w:spacing w:after="0" w:line="240" w:lineRule="auto"/>
    </w:pPr>
  </w:style>
  <w:style w:type="character" w:styleId="Odwoaniedokomentarza">
    <w:name w:val="annotation reference"/>
    <w:basedOn w:val="Domylnaczcionkaakapitu"/>
    <w:uiPriority w:val="99"/>
    <w:semiHidden/>
    <w:unhideWhenUsed/>
    <w:rsid w:val="00C62D20"/>
    <w:rPr>
      <w:sz w:val="16"/>
      <w:szCs w:val="16"/>
    </w:rPr>
  </w:style>
  <w:style w:type="paragraph" w:styleId="Tekstkomentarza">
    <w:name w:val="annotation text"/>
    <w:basedOn w:val="Normalny"/>
    <w:link w:val="TekstkomentarzaZnak"/>
    <w:uiPriority w:val="99"/>
    <w:unhideWhenUsed/>
    <w:rsid w:val="00C62D20"/>
    <w:pPr>
      <w:spacing w:line="240" w:lineRule="auto"/>
    </w:pPr>
    <w:rPr>
      <w:sz w:val="20"/>
      <w:szCs w:val="20"/>
    </w:rPr>
  </w:style>
  <w:style w:type="character" w:customStyle="1" w:styleId="TekstkomentarzaZnak">
    <w:name w:val="Tekst komentarza Znak"/>
    <w:basedOn w:val="Domylnaczcionkaakapitu"/>
    <w:link w:val="Tekstkomentarza"/>
    <w:uiPriority w:val="99"/>
    <w:rsid w:val="00C62D20"/>
    <w:rPr>
      <w:sz w:val="20"/>
      <w:szCs w:val="20"/>
    </w:rPr>
  </w:style>
  <w:style w:type="paragraph" w:styleId="Tematkomentarza">
    <w:name w:val="annotation subject"/>
    <w:basedOn w:val="Tekstkomentarza"/>
    <w:next w:val="Tekstkomentarza"/>
    <w:link w:val="TematkomentarzaZnak"/>
    <w:uiPriority w:val="99"/>
    <w:semiHidden/>
    <w:unhideWhenUsed/>
    <w:rsid w:val="00C62D20"/>
    <w:rPr>
      <w:b/>
      <w:bCs/>
    </w:rPr>
  </w:style>
  <w:style w:type="character" w:customStyle="1" w:styleId="TematkomentarzaZnak">
    <w:name w:val="Temat komentarza Znak"/>
    <w:basedOn w:val="TekstkomentarzaZnak"/>
    <w:link w:val="Tematkomentarza"/>
    <w:uiPriority w:val="99"/>
    <w:semiHidden/>
    <w:rsid w:val="00C62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19314">
      <w:bodyDiv w:val="1"/>
      <w:marLeft w:val="0"/>
      <w:marRight w:val="0"/>
      <w:marTop w:val="0"/>
      <w:marBottom w:val="0"/>
      <w:divBdr>
        <w:top w:val="none" w:sz="0" w:space="0" w:color="auto"/>
        <w:left w:val="none" w:sz="0" w:space="0" w:color="auto"/>
        <w:bottom w:val="none" w:sz="0" w:space="0" w:color="auto"/>
        <w:right w:val="none" w:sz="0" w:space="0" w:color="auto"/>
      </w:divBdr>
    </w:div>
    <w:div w:id="19084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50A82CA803D347B25A2C4E67339F0D" ma:contentTypeVersion="0" ma:contentTypeDescription="Utwórz nowy dokument." ma:contentTypeScope="" ma:versionID="0499744f2f23aee116435b920fbc0a3a">
  <xsd:schema xmlns:xsd="http://www.w3.org/2001/XMLSchema" xmlns:xs="http://www.w3.org/2001/XMLSchema" xmlns:p="http://schemas.microsoft.com/office/2006/metadata/properties" targetNamespace="http://schemas.microsoft.com/office/2006/metadata/properties" ma:root="true" ma:fieldsID="dd0a096fdcd835eace904039899b36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83C0C-7160-46C3-82E4-88B7FDE27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732DD-DC2A-470A-9331-31E40A200D2A}">
  <ds:schemaRefs>
    <ds:schemaRef ds:uri="http://schemas.microsoft.com/sharepoint/v3/contenttype/forms"/>
  </ds:schemaRefs>
</ds:datastoreItem>
</file>

<file path=customXml/itemProps3.xml><?xml version="1.0" encoding="utf-8"?>
<ds:datastoreItem xmlns:ds="http://schemas.openxmlformats.org/officeDocument/2006/customXml" ds:itemID="{7105ED5B-FD7C-4194-A9CB-460174B02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746</Words>
  <Characters>4477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Mańkowski</dc:creator>
  <cp:keywords/>
  <dc:description/>
  <cp:lastModifiedBy>Dariusz Mańkowski</cp:lastModifiedBy>
  <cp:revision>3</cp:revision>
  <dcterms:created xsi:type="dcterms:W3CDTF">2023-01-19T12:48:00Z</dcterms:created>
  <dcterms:modified xsi:type="dcterms:W3CDTF">2023-01-19T12:59:00Z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0x0101007850A82CA803D347B25A2C4E67339F0D</vt:lpwstr>
  </property>
</Properties>
</file>