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293F" w14:textId="51A944F4" w:rsidR="00F12009" w:rsidRPr="00566A20" w:rsidRDefault="00F12009" w:rsidP="00F12009">
      <w:pPr>
        <w:jc w:val="both"/>
        <w:rPr>
          <w:rFonts w:eastAsia="Times New Roman" w:cstheme="minorHAnsi"/>
          <w:sz w:val="24"/>
          <w:szCs w:val="24"/>
          <w:lang w:val="pl-PL"/>
        </w:rPr>
      </w:pPr>
      <w:r w:rsidRPr="00566A20">
        <w:rPr>
          <w:rFonts w:eastAsia="Times New Roman" w:cstheme="minorHAnsi"/>
          <w:sz w:val="24"/>
          <w:szCs w:val="24"/>
          <w:lang w:val="pl-PL"/>
        </w:rPr>
        <w:t>Postęp Biologiczny w Produkcji Roślinnej, Temat PB</w:t>
      </w:r>
      <w:r>
        <w:rPr>
          <w:rFonts w:eastAsia="Times New Roman" w:cstheme="minorHAnsi"/>
          <w:sz w:val="24"/>
          <w:szCs w:val="24"/>
          <w:lang w:val="pl-PL"/>
        </w:rPr>
        <w:t>2</w:t>
      </w:r>
      <w:r w:rsidRPr="00566A20">
        <w:rPr>
          <w:rFonts w:eastAsia="Times New Roman" w:cstheme="minorHAnsi"/>
          <w:sz w:val="24"/>
          <w:szCs w:val="24"/>
          <w:lang w:val="pl-PL"/>
        </w:rPr>
        <w:t xml:space="preserve"> / 3-1-00-3-01, rok 202</w:t>
      </w:r>
      <w:r>
        <w:rPr>
          <w:rFonts w:eastAsia="Times New Roman" w:cstheme="minorHAnsi"/>
          <w:sz w:val="24"/>
          <w:szCs w:val="24"/>
          <w:lang w:val="pl-PL"/>
        </w:rPr>
        <w:t>2</w:t>
      </w:r>
    </w:p>
    <w:p w14:paraId="374A0325" w14:textId="77777777" w:rsidR="00F12009" w:rsidRPr="00566A20" w:rsidRDefault="00F12009" w:rsidP="00F12009">
      <w:pPr>
        <w:jc w:val="center"/>
        <w:rPr>
          <w:rFonts w:eastAsia="Times New Roman" w:cstheme="minorHAnsi"/>
          <w:b/>
          <w:bCs/>
          <w:sz w:val="24"/>
          <w:szCs w:val="24"/>
          <w:lang w:val="pl-PL"/>
        </w:rPr>
      </w:pPr>
      <w:r w:rsidRPr="00566A20">
        <w:rPr>
          <w:rFonts w:eastAsia="Times New Roman" w:cstheme="minorHAnsi"/>
          <w:b/>
          <w:bCs/>
          <w:sz w:val="24"/>
          <w:szCs w:val="24"/>
          <w:lang w:val="pl-PL"/>
        </w:rPr>
        <w:t>Septorioza paskowana liści pszenicy (</w:t>
      </w:r>
      <w:proofErr w:type="spellStart"/>
      <w:r w:rsidRPr="00566A20">
        <w:rPr>
          <w:rFonts w:eastAsia="Times New Roman" w:cstheme="minorHAnsi"/>
          <w:b/>
          <w:bCs/>
          <w:i/>
          <w:iCs/>
          <w:sz w:val="24"/>
          <w:szCs w:val="24"/>
          <w:lang w:val="pl-PL"/>
        </w:rPr>
        <w:t>Zymoseptoria</w:t>
      </w:r>
      <w:proofErr w:type="spellEnd"/>
      <w:r w:rsidRPr="00566A20">
        <w:rPr>
          <w:rFonts w:eastAsia="Times New Roman" w:cstheme="minorHAnsi"/>
          <w:b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566A20">
        <w:rPr>
          <w:rFonts w:eastAsia="Times New Roman" w:cstheme="minorHAnsi"/>
          <w:b/>
          <w:bCs/>
          <w:i/>
          <w:iCs/>
          <w:sz w:val="24"/>
          <w:szCs w:val="24"/>
          <w:lang w:val="pl-PL"/>
        </w:rPr>
        <w:t>tritici</w:t>
      </w:r>
      <w:proofErr w:type="spellEnd"/>
      <w:r w:rsidRPr="00566A20">
        <w:rPr>
          <w:rFonts w:eastAsia="Times New Roman" w:cstheme="minorHAnsi"/>
          <w:b/>
          <w:bCs/>
          <w:sz w:val="24"/>
          <w:szCs w:val="24"/>
          <w:lang w:val="pl-PL"/>
        </w:rPr>
        <w:t xml:space="preserve">): struktura populacji grzyba, identyfikacja </w:t>
      </w:r>
      <w:proofErr w:type="spellStart"/>
      <w:r w:rsidRPr="00566A20">
        <w:rPr>
          <w:rFonts w:eastAsia="Times New Roman" w:cstheme="minorHAnsi"/>
          <w:b/>
          <w:bCs/>
          <w:sz w:val="24"/>
          <w:szCs w:val="24"/>
          <w:lang w:val="pl-PL"/>
        </w:rPr>
        <w:t>loci</w:t>
      </w:r>
      <w:proofErr w:type="spellEnd"/>
      <w:r w:rsidRPr="00566A20">
        <w:rPr>
          <w:rFonts w:eastAsia="Times New Roman" w:cstheme="minorHAnsi"/>
          <w:b/>
          <w:bCs/>
          <w:sz w:val="24"/>
          <w:szCs w:val="24"/>
          <w:lang w:val="pl-PL"/>
        </w:rPr>
        <w:t xml:space="preserve"> odporności w pszenicy oraz wprowadzenie efektywnych genów odporności do materiałów hodowlanych</w:t>
      </w:r>
    </w:p>
    <w:p w14:paraId="2D677131" w14:textId="77777777" w:rsidR="00F12009" w:rsidRPr="006E477B" w:rsidRDefault="00F12009" w:rsidP="00F12009">
      <w:pPr>
        <w:spacing w:after="0" w:line="22" w:lineRule="atLeast"/>
        <w:jc w:val="both"/>
        <w:rPr>
          <w:rFonts w:cstheme="minorHAnsi"/>
          <w:sz w:val="24"/>
          <w:szCs w:val="24"/>
          <w:lang w:val="pl-PL"/>
        </w:rPr>
      </w:pPr>
      <w:r w:rsidRPr="006E477B">
        <w:rPr>
          <w:rFonts w:cstheme="minorHAnsi"/>
          <w:sz w:val="24"/>
          <w:szCs w:val="24"/>
          <w:lang w:val="pl-PL"/>
        </w:rPr>
        <w:t>Kierownik tematu:</w:t>
      </w:r>
      <w:r>
        <w:rPr>
          <w:rFonts w:cstheme="minorHAnsi"/>
          <w:sz w:val="24"/>
          <w:szCs w:val="24"/>
          <w:lang w:val="pl-PL"/>
        </w:rPr>
        <w:tab/>
      </w:r>
      <w:r w:rsidRPr="00316E29">
        <w:rPr>
          <w:rFonts w:cstheme="minorHAnsi"/>
          <w:b/>
          <w:bCs/>
          <w:sz w:val="24"/>
          <w:szCs w:val="24"/>
          <w:lang w:val="pl-PL"/>
        </w:rPr>
        <w:t>dr hab. Paweł Czembor, prof. Instytutu</w:t>
      </w:r>
    </w:p>
    <w:p w14:paraId="746E3AF7" w14:textId="77777777" w:rsidR="00F12009" w:rsidRDefault="00F12009" w:rsidP="00F12009">
      <w:pPr>
        <w:spacing w:after="0" w:line="22" w:lineRule="atLeast"/>
        <w:ind w:left="2160" w:hanging="2160"/>
        <w:jc w:val="both"/>
        <w:rPr>
          <w:rFonts w:cstheme="minorHAnsi"/>
          <w:sz w:val="24"/>
          <w:szCs w:val="24"/>
          <w:lang w:val="pl-PL"/>
        </w:rPr>
      </w:pPr>
      <w:r w:rsidRPr="006E477B">
        <w:rPr>
          <w:rFonts w:cstheme="minorHAnsi"/>
          <w:sz w:val="24"/>
          <w:szCs w:val="24"/>
          <w:lang w:val="pl-PL"/>
        </w:rPr>
        <w:t xml:space="preserve">Wykonawcy: </w:t>
      </w:r>
      <w:r>
        <w:rPr>
          <w:rFonts w:cstheme="minorHAnsi"/>
          <w:sz w:val="24"/>
          <w:szCs w:val="24"/>
          <w:lang w:val="pl-PL"/>
        </w:rPr>
        <w:tab/>
        <w:t>d</w:t>
      </w:r>
      <w:r w:rsidRPr="006E477B">
        <w:rPr>
          <w:rFonts w:cstheme="minorHAnsi"/>
          <w:sz w:val="24"/>
          <w:szCs w:val="24"/>
          <w:lang w:val="pl-PL"/>
        </w:rPr>
        <w:t>r hab. Dariusz Mańkowski, prof. Instytutu</w:t>
      </w:r>
      <w:r>
        <w:rPr>
          <w:rFonts w:cstheme="minorHAnsi"/>
          <w:sz w:val="24"/>
          <w:szCs w:val="24"/>
          <w:lang w:val="pl-PL"/>
        </w:rPr>
        <w:t>,</w:t>
      </w:r>
      <w:r w:rsidRPr="00566A20">
        <w:rPr>
          <w:rFonts w:cstheme="minorHAnsi"/>
          <w:sz w:val="24"/>
          <w:szCs w:val="24"/>
          <w:lang w:val="pl-PL"/>
        </w:rPr>
        <w:t xml:space="preserve"> </w:t>
      </w:r>
      <w:r w:rsidRPr="006E477B">
        <w:rPr>
          <w:rFonts w:cstheme="minorHAnsi"/>
          <w:sz w:val="24"/>
          <w:szCs w:val="24"/>
          <w:lang w:val="pl-PL"/>
        </w:rPr>
        <w:t>dr inż. Magdalena Radecka-Janusik</w:t>
      </w:r>
      <w:r>
        <w:rPr>
          <w:rFonts w:cstheme="minorHAnsi"/>
          <w:sz w:val="24"/>
          <w:szCs w:val="24"/>
          <w:lang w:val="pl-PL"/>
        </w:rPr>
        <w:t>,</w:t>
      </w:r>
      <w:r w:rsidRPr="00566A20">
        <w:rPr>
          <w:rFonts w:cstheme="minorHAnsi"/>
          <w:sz w:val="24"/>
          <w:szCs w:val="24"/>
          <w:lang w:val="pl-PL"/>
        </w:rPr>
        <w:t xml:space="preserve"> </w:t>
      </w:r>
      <w:r w:rsidRPr="006E477B">
        <w:rPr>
          <w:rFonts w:cstheme="minorHAnsi"/>
          <w:sz w:val="24"/>
          <w:szCs w:val="24"/>
          <w:lang w:val="pl-PL"/>
        </w:rPr>
        <w:t>dr Urszula Piechota</w:t>
      </w:r>
      <w:r>
        <w:rPr>
          <w:rFonts w:cstheme="minorHAnsi"/>
          <w:sz w:val="24"/>
          <w:szCs w:val="24"/>
          <w:lang w:val="pl-PL"/>
        </w:rPr>
        <w:t xml:space="preserve">, </w:t>
      </w:r>
      <w:r w:rsidRPr="006E477B">
        <w:rPr>
          <w:rFonts w:cstheme="minorHAnsi"/>
          <w:sz w:val="24"/>
          <w:szCs w:val="24"/>
          <w:lang w:val="pl-PL"/>
        </w:rPr>
        <w:t>dr Grzegorz Czajowski</w:t>
      </w:r>
      <w:r>
        <w:rPr>
          <w:rFonts w:cstheme="minorHAnsi"/>
          <w:sz w:val="24"/>
          <w:szCs w:val="24"/>
          <w:lang w:val="pl-PL"/>
        </w:rPr>
        <w:t xml:space="preserve">, </w:t>
      </w:r>
      <w:r w:rsidRPr="006E477B">
        <w:rPr>
          <w:rFonts w:cstheme="minorHAnsi"/>
          <w:sz w:val="24"/>
          <w:szCs w:val="24"/>
          <w:lang w:val="pl-PL"/>
        </w:rPr>
        <w:t>mgr Dominika Piaskowska</w:t>
      </w:r>
      <w:r>
        <w:rPr>
          <w:rFonts w:cstheme="minorHAnsi"/>
          <w:sz w:val="24"/>
          <w:szCs w:val="24"/>
          <w:lang w:val="pl-PL"/>
        </w:rPr>
        <w:t xml:space="preserve">, </w:t>
      </w:r>
      <w:r w:rsidRPr="006E477B">
        <w:rPr>
          <w:rFonts w:cstheme="minorHAnsi"/>
          <w:sz w:val="24"/>
          <w:szCs w:val="24"/>
          <w:lang w:val="pl-PL"/>
        </w:rPr>
        <w:t>mgr inż. Piotr Słowacki</w:t>
      </w:r>
    </w:p>
    <w:p w14:paraId="43D91196" w14:textId="77777777" w:rsidR="00F12009" w:rsidRDefault="00F12009" w:rsidP="00F12009">
      <w:pPr>
        <w:spacing w:after="0" w:line="22" w:lineRule="atLeast"/>
        <w:ind w:left="2160" w:hanging="2160"/>
        <w:jc w:val="both"/>
        <w:rPr>
          <w:rFonts w:cstheme="minorHAnsi"/>
          <w:sz w:val="24"/>
          <w:szCs w:val="24"/>
          <w:lang w:val="pl-PL"/>
        </w:rPr>
      </w:pPr>
    </w:p>
    <w:p w14:paraId="79848B12" w14:textId="65C72BF7" w:rsidR="00F12009" w:rsidRDefault="00F12009" w:rsidP="00F12009">
      <w:pPr>
        <w:spacing w:after="0" w:line="22" w:lineRule="atLeast"/>
        <w:ind w:firstLine="720"/>
        <w:jc w:val="both"/>
        <w:rPr>
          <w:rFonts w:cstheme="minorHAnsi"/>
          <w:sz w:val="24"/>
          <w:szCs w:val="24"/>
          <w:lang w:val="pl-PL"/>
        </w:rPr>
      </w:pPr>
      <w:r w:rsidRPr="00B22175">
        <w:rPr>
          <w:rFonts w:cstheme="minorHAnsi"/>
          <w:sz w:val="24"/>
          <w:szCs w:val="24"/>
          <w:lang w:val="pl-PL"/>
        </w:rPr>
        <w:t xml:space="preserve">Septorioza paskowana liści </w:t>
      </w:r>
      <w:r>
        <w:rPr>
          <w:rFonts w:cstheme="minorHAnsi"/>
          <w:sz w:val="24"/>
          <w:szCs w:val="24"/>
          <w:lang w:val="pl-PL"/>
        </w:rPr>
        <w:t xml:space="preserve">(STB, ang. </w:t>
      </w:r>
      <w:proofErr w:type="spellStart"/>
      <w:r>
        <w:rPr>
          <w:rFonts w:cstheme="minorHAnsi"/>
          <w:sz w:val="24"/>
          <w:szCs w:val="24"/>
          <w:lang w:val="pl-PL"/>
        </w:rPr>
        <w:t>Septoria</w:t>
      </w:r>
      <w:proofErr w:type="spellEnd"/>
      <w:r>
        <w:rPr>
          <w:rFonts w:cstheme="minorHAnsi"/>
          <w:sz w:val="24"/>
          <w:szCs w:val="24"/>
          <w:lang w:val="pl-PL"/>
        </w:rPr>
        <w:t xml:space="preserve"> </w:t>
      </w:r>
      <w:proofErr w:type="spellStart"/>
      <w:r>
        <w:rPr>
          <w:rFonts w:cstheme="minorHAnsi"/>
          <w:sz w:val="24"/>
          <w:szCs w:val="24"/>
          <w:lang w:val="pl-PL"/>
        </w:rPr>
        <w:t>tritici</w:t>
      </w:r>
      <w:proofErr w:type="spellEnd"/>
      <w:r>
        <w:rPr>
          <w:rFonts w:cstheme="minorHAnsi"/>
          <w:sz w:val="24"/>
          <w:szCs w:val="24"/>
          <w:lang w:val="pl-PL"/>
        </w:rPr>
        <w:t xml:space="preserve"> </w:t>
      </w:r>
      <w:proofErr w:type="spellStart"/>
      <w:r>
        <w:rPr>
          <w:rFonts w:cstheme="minorHAnsi"/>
          <w:sz w:val="24"/>
          <w:szCs w:val="24"/>
          <w:lang w:val="pl-PL"/>
        </w:rPr>
        <w:t>blotch</w:t>
      </w:r>
      <w:proofErr w:type="spellEnd"/>
      <w:r>
        <w:rPr>
          <w:rFonts w:cstheme="minorHAnsi"/>
          <w:sz w:val="24"/>
          <w:szCs w:val="24"/>
          <w:lang w:val="pl-PL"/>
        </w:rPr>
        <w:t xml:space="preserve">) to choroba grzybowa należąca </w:t>
      </w:r>
      <w:r w:rsidRPr="00B22175">
        <w:rPr>
          <w:rFonts w:cstheme="minorHAnsi"/>
          <w:sz w:val="24"/>
          <w:szCs w:val="24"/>
          <w:lang w:val="pl-PL"/>
        </w:rPr>
        <w:t>do najbardziej destruktywnych chorób</w:t>
      </w:r>
      <w:r>
        <w:rPr>
          <w:rFonts w:cstheme="minorHAnsi"/>
          <w:sz w:val="24"/>
          <w:szCs w:val="24"/>
          <w:lang w:val="pl-PL"/>
        </w:rPr>
        <w:t xml:space="preserve"> liściowych</w:t>
      </w:r>
      <w:r w:rsidRPr="00B22175">
        <w:rPr>
          <w:rFonts w:cstheme="minorHAnsi"/>
          <w:sz w:val="24"/>
          <w:szCs w:val="24"/>
          <w:lang w:val="pl-PL"/>
        </w:rPr>
        <w:t xml:space="preserve"> pszenicy. </w:t>
      </w:r>
      <w:r w:rsidRPr="007A001A">
        <w:rPr>
          <w:rFonts w:cstheme="minorHAnsi"/>
          <w:sz w:val="24"/>
          <w:szCs w:val="24"/>
          <w:lang w:val="pl-PL"/>
        </w:rPr>
        <w:t>Szacuje się, że ponad 70% fungicydów stosowanych rocznie na plantacjach zbóż w Europie wykorzystuje się do zwalczania STB</w:t>
      </w:r>
      <w:r>
        <w:rPr>
          <w:rFonts w:cstheme="minorHAnsi"/>
          <w:sz w:val="24"/>
          <w:szCs w:val="24"/>
          <w:lang w:val="pl-PL"/>
        </w:rPr>
        <w:t xml:space="preserve">. Z drugiej strony, </w:t>
      </w:r>
      <w:r w:rsidRPr="007A001A">
        <w:rPr>
          <w:rFonts w:cstheme="minorHAnsi"/>
          <w:sz w:val="24"/>
          <w:szCs w:val="24"/>
          <w:lang w:val="pl-PL"/>
        </w:rPr>
        <w:t>polityka stosowania fungicydów uległa</w:t>
      </w:r>
      <w:r>
        <w:rPr>
          <w:rFonts w:cstheme="minorHAnsi"/>
          <w:sz w:val="24"/>
          <w:szCs w:val="24"/>
          <w:lang w:val="pl-PL"/>
        </w:rPr>
        <w:t xml:space="preserve"> w ostatnich latach</w:t>
      </w:r>
      <w:r w:rsidRPr="007A001A">
        <w:rPr>
          <w:rFonts w:cstheme="minorHAnsi"/>
          <w:sz w:val="24"/>
          <w:szCs w:val="24"/>
          <w:lang w:val="pl-PL"/>
        </w:rPr>
        <w:t xml:space="preserve"> znacznemu zaostrzeniu</w:t>
      </w:r>
      <w:r>
        <w:rPr>
          <w:rFonts w:cstheme="minorHAnsi"/>
          <w:sz w:val="24"/>
          <w:szCs w:val="24"/>
          <w:lang w:val="pl-PL"/>
        </w:rPr>
        <w:t>, w</w:t>
      </w:r>
      <w:r w:rsidRPr="00B22175">
        <w:rPr>
          <w:rFonts w:cstheme="minorHAnsi"/>
          <w:sz w:val="24"/>
          <w:szCs w:val="24"/>
          <w:lang w:val="pl-PL"/>
        </w:rPr>
        <w:t xml:space="preserve"> związku z </w:t>
      </w:r>
      <w:r>
        <w:rPr>
          <w:rFonts w:cstheme="minorHAnsi"/>
          <w:sz w:val="24"/>
          <w:szCs w:val="24"/>
          <w:lang w:val="pl-PL"/>
        </w:rPr>
        <w:t>czym</w:t>
      </w:r>
      <w:r w:rsidRPr="00B22175">
        <w:rPr>
          <w:rFonts w:cstheme="minorHAnsi"/>
          <w:sz w:val="24"/>
          <w:szCs w:val="24"/>
          <w:lang w:val="pl-PL"/>
        </w:rPr>
        <w:t xml:space="preserve"> coraz większy nacisk kładzie się na hodowlę </w:t>
      </w:r>
      <w:r>
        <w:rPr>
          <w:rFonts w:cstheme="minorHAnsi"/>
          <w:sz w:val="24"/>
          <w:szCs w:val="24"/>
          <w:lang w:val="pl-PL"/>
        </w:rPr>
        <w:t>odpornościową.</w:t>
      </w:r>
    </w:p>
    <w:p w14:paraId="24EE8F14" w14:textId="05346395" w:rsidR="00F12009" w:rsidRDefault="00F12009" w:rsidP="00F12009">
      <w:pPr>
        <w:spacing w:after="0" w:line="22" w:lineRule="atLeast"/>
        <w:ind w:firstLine="720"/>
        <w:jc w:val="both"/>
        <w:rPr>
          <w:rFonts w:cstheme="minorHAnsi"/>
          <w:sz w:val="24"/>
          <w:szCs w:val="24"/>
          <w:lang w:val="pl-PL"/>
        </w:rPr>
      </w:pPr>
      <w:r w:rsidRPr="00B22175">
        <w:rPr>
          <w:rFonts w:cstheme="minorHAnsi"/>
          <w:b/>
          <w:bCs/>
          <w:sz w:val="24"/>
          <w:szCs w:val="24"/>
          <w:lang w:val="pl-PL"/>
        </w:rPr>
        <w:t xml:space="preserve">Celem projektu </w:t>
      </w:r>
      <w:r w:rsidR="00817CC5">
        <w:rPr>
          <w:rFonts w:cstheme="minorHAnsi"/>
          <w:b/>
          <w:bCs/>
          <w:sz w:val="24"/>
          <w:szCs w:val="24"/>
          <w:lang w:val="pl-PL"/>
        </w:rPr>
        <w:t>w roku 2022 jest</w:t>
      </w:r>
      <w:r w:rsidRPr="00B22175">
        <w:rPr>
          <w:rFonts w:cstheme="minorHAnsi"/>
          <w:b/>
          <w:bCs/>
          <w:sz w:val="24"/>
          <w:szCs w:val="24"/>
          <w:lang w:val="pl-PL"/>
        </w:rPr>
        <w:t>:</w:t>
      </w:r>
      <w:r>
        <w:rPr>
          <w:rFonts w:cstheme="minorHAnsi"/>
          <w:b/>
          <w:bCs/>
          <w:sz w:val="24"/>
          <w:szCs w:val="24"/>
          <w:lang w:val="pl-PL"/>
        </w:rPr>
        <w:t xml:space="preserve"> 1) </w:t>
      </w:r>
      <w:r>
        <w:rPr>
          <w:rFonts w:eastAsia="Times New Roman" w:cstheme="minorHAnsi"/>
          <w:sz w:val="24"/>
          <w:szCs w:val="24"/>
          <w:lang w:val="pl-PL"/>
        </w:rPr>
        <w:t>a</w:t>
      </w:r>
      <w:r w:rsidRPr="00B22175">
        <w:rPr>
          <w:rFonts w:eastAsia="Times New Roman" w:cstheme="minorHAnsi"/>
          <w:sz w:val="24"/>
          <w:szCs w:val="24"/>
          <w:lang w:val="pl-PL"/>
        </w:rPr>
        <w:t xml:space="preserve">naliza wirulencji </w:t>
      </w:r>
      <w:proofErr w:type="spellStart"/>
      <w:r w:rsidRPr="00B22175">
        <w:rPr>
          <w:rFonts w:eastAsia="Times New Roman" w:cstheme="minorHAnsi"/>
          <w:sz w:val="24"/>
          <w:szCs w:val="24"/>
          <w:lang w:val="pl-PL"/>
        </w:rPr>
        <w:t>izolatów</w:t>
      </w:r>
      <w:proofErr w:type="spellEnd"/>
      <w:r w:rsidRPr="00B22175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B22175">
        <w:rPr>
          <w:rFonts w:eastAsia="Times New Roman" w:cstheme="minorHAnsi"/>
          <w:i/>
          <w:iCs/>
          <w:sz w:val="24"/>
          <w:szCs w:val="24"/>
          <w:lang w:val="pl-PL"/>
        </w:rPr>
        <w:t xml:space="preserve">Z. </w:t>
      </w:r>
      <w:proofErr w:type="spellStart"/>
      <w:r w:rsidRPr="00B22175">
        <w:rPr>
          <w:rFonts w:eastAsia="Times New Roman" w:cstheme="minorHAnsi"/>
          <w:i/>
          <w:iCs/>
          <w:sz w:val="24"/>
          <w:szCs w:val="24"/>
          <w:lang w:val="pl-PL"/>
        </w:rPr>
        <w:t>tritic</w:t>
      </w:r>
      <w:r>
        <w:rPr>
          <w:rFonts w:eastAsia="Times New Roman" w:cstheme="minorHAnsi"/>
          <w:i/>
          <w:iCs/>
          <w:sz w:val="24"/>
          <w:szCs w:val="24"/>
          <w:lang w:val="pl-PL"/>
        </w:rPr>
        <w:t>i</w:t>
      </w:r>
      <w:proofErr w:type="spellEnd"/>
      <w:r>
        <w:rPr>
          <w:rFonts w:eastAsia="Times New Roman" w:cstheme="minorHAnsi"/>
          <w:b/>
          <w:bCs/>
          <w:i/>
          <w:iCs/>
          <w:sz w:val="24"/>
          <w:szCs w:val="24"/>
          <w:lang w:val="pl-PL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  <w:lang w:val="pl-PL"/>
        </w:rPr>
        <w:t xml:space="preserve">2) </w:t>
      </w:r>
      <w:r w:rsidR="00473225">
        <w:rPr>
          <w:rFonts w:eastAsia="Times New Roman" w:cstheme="minorHAnsi"/>
          <w:sz w:val="24"/>
          <w:szCs w:val="24"/>
          <w:lang w:val="pl-PL"/>
        </w:rPr>
        <w:t>m</w:t>
      </w:r>
      <w:r w:rsidR="00473225" w:rsidRPr="00473225">
        <w:rPr>
          <w:rFonts w:eastAsia="Times New Roman" w:cstheme="minorHAnsi"/>
          <w:sz w:val="24"/>
          <w:szCs w:val="24"/>
          <w:lang w:val="pl-PL"/>
        </w:rPr>
        <w:t xml:space="preserve">apowanie </w:t>
      </w:r>
      <w:r w:rsidR="00473225">
        <w:rPr>
          <w:rFonts w:eastAsia="Times New Roman" w:cstheme="minorHAnsi"/>
          <w:sz w:val="24"/>
          <w:szCs w:val="24"/>
          <w:lang w:val="pl-PL"/>
        </w:rPr>
        <w:t>a</w:t>
      </w:r>
      <w:r w:rsidR="00473225" w:rsidRPr="00473225">
        <w:rPr>
          <w:rFonts w:eastAsia="Times New Roman" w:cstheme="minorHAnsi"/>
          <w:sz w:val="24"/>
          <w:szCs w:val="24"/>
          <w:lang w:val="pl-PL"/>
        </w:rPr>
        <w:t xml:space="preserve">socjacyjne (MA): </w:t>
      </w:r>
      <w:proofErr w:type="spellStart"/>
      <w:r w:rsidR="00473225" w:rsidRPr="00473225">
        <w:rPr>
          <w:rFonts w:eastAsia="Times New Roman" w:cstheme="minorHAnsi"/>
          <w:sz w:val="24"/>
          <w:szCs w:val="24"/>
          <w:lang w:val="pl-PL"/>
        </w:rPr>
        <w:t>fenotypowanie</w:t>
      </w:r>
      <w:proofErr w:type="spellEnd"/>
      <w:r w:rsidR="00473225" w:rsidRPr="00473225">
        <w:rPr>
          <w:rFonts w:eastAsia="Times New Roman" w:cstheme="minorHAnsi"/>
          <w:sz w:val="24"/>
          <w:szCs w:val="24"/>
          <w:lang w:val="pl-PL"/>
        </w:rPr>
        <w:t xml:space="preserve"> reakcji na zakażanie </w:t>
      </w:r>
      <w:r w:rsidR="00473225" w:rsidRPr="00473225">
        <w:rPr>
          <w:rFonts w:eastAsia="Times New Roman" w:cstheme="minorHAnsi"/>
          <w:i/>
          <w:iCs/>
          <w:sz w:val="24"/>
          <w:szCs w:val="24"/>
          <w:lang w:val="pl-PL"/>
        </w:rPr>
        <w:t xml:space="preserve">Z. </w:t>
      </w:r>
      <w:proofErr w:type="spellStart"/>
      <w:r w:rsidR="00473225" w:rsidRPr="00473225">
        <w:rPr>
          <w:rFonts w:eastAsia="Times New Roman" w:cstheme="minorHAnsi"/>
          <w:i/>
          <w:iCs/>
          <w:sz w:val="24"/>
          <w:szCs w:val="24"/>
          <w:lang w:val="pl-PL"/>
        </w:rPr>
        <w:t>tritici</w:t>
      </w:r>
      <w:proofErr w:type="spellEnd"/>
      <w:r w:rsidR="00473225" w:rsidRPr="00473225">
        <w:rPr>
          <w:rFonts w:eastAsia="Times New Roman" w:cstheme="minorHAnsi"/>
          <w:sz w:val="24"/>
          <w:szCs w:val="24"/>
          <w:lang w:val="pl-PL"/>
        </w:rPr>
        <w:t xml:space="preserve"> co najmniej 188 obiektów stadium rośliny dorosłej – zakażanie i ocena odporności pierwszego doświadczenia polowego oraz założenie drugiego doświadczenia polowego.</w:t>
      </w:r>
      <w:r w:rsidR="00473225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473225" w:rsidRPr="008E72A7">
        <w:rPr>
          <w:rFonts w:eastAsia="Times New Roman" w:cstheme="minorHAnsi"/>
          <w:b/>
          <w:bCs/>
          <w:sz w:val="24"/>
          <w:szCs w:val="24"/>
          <w:lang w:val="pl-PL"/>
        </w:rPr>
        <w:t>3)</w:t>
      </w:r>
      <w:r w:rsidR="00473225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473225">
        <w:rPr>
          <w:rFonts w:cstheme="minorHAnsi"/>
          <w:sz w:val="24"/>
          <w:szCs w:val="24"/>
          <w:lang w:val="pl-PL"/>
        </w:rPr>
        <w:t>w</w:t>
      </w:r>
      <w:r w:rsidR="00473225" w:rsidRPr="00B22175">
        <w:rPr>
          <w:rFonts w:cstheme="minorHAnsi"/>
          <w:sz w:val="24"/>
          <w:szCs w:val="24"/>
          <w:lang w:val="pl-PL"/>
        </w:rPr>
        <w:t xml:space="preserve">prowadzenie genów odporności na </w:t>
      </w:r>
      <w:r w:rsidR="00473225" w:rsidRPr="00B22175">
        <w:rPr>
          <w:rFonts w:cstheme="minorHAnsi"/>
          <w:i/>
          <w:iCs/>
          <w:sz w:val="24"/>
          <w:szCs w:val="24"/>
          <w:lang w:val="pl-PL"/>
        </w:rPr>
        <w:t xml:space="preserve">Z. </w:t>
      </w:r>
      <w:proofErr w:type="spellStart"/>
      <w:r w:rsidR="00473225" w:rsidRPr="00B22175">
        <w:rPr>
          <w:rFonts w:cstheme="minorHAnsi"/>
          <w:i/>
          <w:iCs/>
          <w:sz w:val="24"/>
          <w:szCs w:val="24"/>
          <w:lang w:val="pl-PL"/>
        </w:rPr>
        <w:t>tritici</w:t>
      </w:r>
      <w:proofErr w:type="spellEnd"/>
      <w:r w:rsidR="00473225" w:rsidRPr="00B22175">
        <w:rPr>
          <w:rFonts w:cstheme="minorHAnsi"/>
          <w:sz w:val="24"/>
          <w:szCs w:val="24"/>
          <w:lang w:val="pl-PL"/>
        </w:rPr>
        <w:t xml:space="preserve"> do pszenicy wspomagane markerami molekularnymi</w:t>
      </w:r>
      <w:r w:rsidR="008E72A7">
        <w:rPr>
          <w:rFonts w:cstheme="minorHAnsi"/>
          <w:sz w:val="24"/>
          <w:szCs w:val="24"/>
          <w:lang w:val="pl-PL"/>
        </w:rPr>
        <w:t xml:space="preserve"> - </w:t>
      </w:r>
      <w:r w:rsidR="008E72A7" w:rsidRPr="008E72A7">
        <w:rPr>
          <w:rFonts w:cstheme="minorHAnsi"/>
          <w:sz w:val="24"/>
          <w:szCs w:val="24"/>
          <w:lang w:val="pl-PL"/>
        </w:rPr>
        <w:t>selekcja molekularna roślin pokolenia F</w:t>
      </w:r>
      <w:r w:rsidR="008E72A7" w:rsidRPr="008E72A7">
        <w:rPr>
          <w:rFonts w:cstheme="minorHAnsi"/>
          <w:sz w:val="24"/>
          <w:szCs w:val="24"/>
          <w:vertAlign w:val="subscript"/>
          <w:lang w:val="pl-PL"/>
        </w:rPr>
        <w:t>1</w:t>
      </w:r>
      <w:r w:rsidR="008E72A7" w:rsidRPr="008E72A7">
        <w:rPr>
          <w:rFonts w:cstheme="minorHAnsi"/>
          <w:sz w:val="24"/>
          <w:szCs w:val="24"/>
          <w:lang w:val="pl-PL"/>
        </w:rPr>
        <w:t>BC</w:t>
      </w:r>
      <w:r w:rsidR="008E72A7" w:rsidRPr="008E72A7">
        <w:rPr>
          <w:rFonts w:cstheme="minorHAnsi"/>
          <w:sz w:val="24"/>
          <w:szCs w:val="24"/>
          <w:vertAlign w:val="subscript"/>
          <w:lang w:val="pl-PL"/>
        </w:rPr>
        <w:t>1</w:t>
      </w:r>
      <w:r w:rsidR="008E72A7" w:rsidRPr="008E72A7">
        <w:rPr>
          <w:rFonts w:cstheme="minorHAnsi"/>
          <w:sz w:val="24"/>
          <w:szCs w:val="24"/>
          <w:lang w:val="pl-PL"/>
        </w:rPr>
        <w:t xml:space="preserve"> oraz uzyskanie ziarniaków pokolenia F</w:t>
      </w:r>
      <w:r w:rsidR="008E72A7" w:rsidRPr="008E72A7">
        <w:rPr>
          <w:rFonts w:cstheme="minorHAnsi"/>
          <w:sz w:val="24"/>
          <w:szCs w:val="24"/>
          <w:vertAlign w:val="subscript"/>
          <w:lang w:val="pl-PL"/>
        </w:rPr>
        <w:t>1</w:t>
      </w:r>
      <w:r w:rsidR="008E72A7" w:rsidRPr="008E72A7">
        <w:rPr>
          <w:rFonts w:cstheme="minorHAnsi"/>
          <w:sz w:val="24"/>
          <w:szCs w:val="24"/>
          <w:lang w:val="pl-PL"/>
        </w:rPr>
        <w:t>BC</w:t>
      </w:r>
      <w:r w:rsidR="008E72A7" w:rsidRPr="008E72A7">
        <w:rPr>
          <w:rFonts w:cstheme="minorHAnsi"/>
          <w:sz w:val="24"/>
          <w:szCs w:val="24"/>
          <w:vertAlign w:val="subscript"/>
          <w:lang w:val="pl-PL"/>
        </w:rPr>
        <w:t>2</w:t>
      </w:r>
      <w:r w:rsidR="008E72A7">
        <w:rPr>
          <w:rFonts w:cstheme="minorHAnsi"/>
          <w:sz w:val="24"/>
          <w:szCs w:val="24"/>
          <w:lang w:val="pl-PL"/>
        </w:rPr>
        <w:t>.</w:t>
      </w:r>
    </w:p>
    <w:p w14:paraId="399660BF" w14:textId="70A00323" w:rsidR="008E72A7" w:rsidRDefault="008E72A7" w:rsidP="00F12009">
      <w:pPr>
        <w:spacing w:after="0" w:line="22" w:lineRule="atLeast"/>
        <w:ind w:firstLine="72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W roku 2022 wykonano następujące prace:</w:t>
      </w:r>
    </w:p>
    <w:p w14:paraId="75082F84" w14:textId="7D3A1F09" w:rsidR="00B97D0E" w:rsidRDefault="008E72A7" w:rsidP="002427A7">
      <w:pPr>
        <w:spacing w:after="0" w:line="22" w:lineRule="atLeast"/>
        <w:ind w:firstLine="720"/>
        <w:jc w:val="both"/>
        <w:rPr>
          <w:rFonts w:cstheme="minorHAnsi"/>
          <w:sz w:val="24"/>
          <w:szCs w:val="24"/>
          <w:lang w:val="pl-PL"/>
        </w:rPr>
      </w:pPr>
      <w:r w:rsidRPr="004B6690">
        <w:rPr>
          <w:rFonts w:cstheme="minorHAnsi"/>
          <w:b/>
          <w:bCs/>
          <w:sz w:val="24"/>
          <w:szCs w:val="24"/>
          <w:lang w:val="pl-PL"/>
        </w:rPr>
        <w:t>Ad. 1)</w:t>
      </w:r>
      <w:r>
        <w:rPr>
          <w:rFonts w:cstheme="minorHAnsi"/>
          <w:sz w:val="24"/>
          <w:szCs w:val="24"/>
          <w:lang w:val="pl-PL"/>
        </w:rPr>
        <w:t xml:space="preserve"> </w:t>
      </w:r>
      <w:r w:rsidR="004B6690">
        <w:rPr>
          <w:rFonts w:cstheme="minorHAnsi"/>
          <w:sz w:val="24"/>
          <w:szCs w:val="24"/>
          <w:lang w:val="pl-PL"/>
        </w:rPr>
        <w:t>P</w:t>
      </w:r>
      <w:r w:rsidR="002427A7">
        <w:rPr>
          <w:rFonts w:cstheme="minorHAnsi"/>
          <w:sz w:val="24"/>
          <w:szCs w:val="24"/>
          <w:lang w:val="pl-PL"/>
        </w:rPr>
        <w:t xml:space="preserve">rzetestowano wirulencję 10 </w:t>
      </w:r>
      <w:proofErr w:type="spellStart"/>
      <w:r w:rsidR="002427A7">
        <w:rPr>
          <w:rFonts w:cstheme="minorHAnsi"/>
          <w:sz w:val="24"/>
          <w:szCs w:val="24"/>
          <w:lang w:val="pl-PL"/>
        </w:rPr>
        <w:t>izolatów</w:t>
      </w:r>
      <w:proofErr w:type="spellEnd"/>
      <w:r w:rsidR="002427A7">
        <w:rPr>
          <w:rFonts w:cstheme="minorHAnsi"/>
          <w:sz w:val="24"/>
          <w:szCs w:val="24"/>
          <w:lang w:val="pl-PL"/>
        </w:rPr>
        <w:t xml:space="preserve"> </w:t>
      </w:r>
      <w:r w:rsidR="002427A7" w:rsidRPr="004B6690">
        <w:rPr>
          <w:rFonts w:cstheme="minorHAnsi"/>
          <w:i/>
          <w:iCs/>
          <w:sz w:val="24"/>
          <w:szCs w:val="24"/>
          <w:lang w:val="pl-PL"/>
        </w:rPr>
        <w:t xml:space="preserve">Z. </w:t>
      </w:r>
      <w:proofErr w:type="spellStart"/>
      <w:r w:rsidR="002427A7" w:rsidRPr="004B6690">
        <w:rPr>
          <w:rFonts w:cstheme="minorHAnsi"/>
          <w:i/>
          <w:iCs/>
          <w:sz w:val="24"/>
          <w:szCs w:val="24"/>
          <w:lang w:val="pl-PL"/>
        </w:rPr>
        <w:t>tritici</w:t>
      </w:r>
      <w:proofErr w:type="spellEnd"/>
      <w:r w:rsidR="002427A7">
        <w:rPr>
          <w:rFonts w:cstheme="minorHAnsi"/>
          <w:sz w:val="24"/>
          <w:szCs w:val="24"/>
          <w:lang w:val="pl-PL"/>
        </w:rPr>
        <w:t xml:space="preserve"> </w:t>
      </w:r>
      <w:r w:rsidR="002427A7" w:rsidRPr="002427A7">
        <w:rPr>
          <w:rFonts w:cstheme="minorHAnsi"/>
          <w:sz w:val="24"/>
          <w:szCs w:val="24"/>
          <w:lang w:val="pl-PL"/>
        </w:rPr>
        <w:t>otrzyman</w:t>
      </w:r>
      <w:r w:rsidR="002427A7">
        <w:rPr>
          <w:rFonts w:cstheme="minorHAnsi"/>
          <w:sz w:val="24"/>
          <w:szCs w:val="24"/>
          <w:lang w:val="pl-PL"/>
        </w:rPr>
        <w:t>ych z liści pochodzących</w:t>
      </w:r>
      <w:r w:rsidR="002427A7" w:rsidRPr="002427A7">
        <w:rPr>
          <w:rFonts w:cstheme="minorHAnsi"/>
          <w:sz w:val="24"/>
          <w:szCs w:val="24"/>
          <w:lang w:val="pl-PL"/>
        </w:rPr>
        <w:t xml:space="preserve"> </w:t>
      </w:r>
      <w:r w:rsidR="004B6690">
        <w:rPr>
          <w:rFonts w:cstheme="minorHAnsi"/>
          <w:sz w:val="24"/>
          <w:szCs w:val="24"/>
          <w:lang w:val="pl-PL"/>
        </w:rPr>
        <w:t xml:space="preserve">z 7 </w:t>
      </w:r>
      <w:r w:rsidR="002427A7" w:rsidRPr="002427A7">
        <w:rPr>
          <w:rFonts w:cstheme="minorHAnsi"/>
          <w:sz w:val="24"/>
          <w:szCs w:val="24"/>
          <w:lang w:val="pl-PL"/>
        </w:rPr>
        <w:t>miejscowości w Polsce.</w:t>
      </w:r>
      <w:r w:rsidR="004B6690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="004B6690" w:rsidRPr="002735FC">
        <w:rPr>
          <w:rFonts w:cstheme="minorHAnsi"/>
          <w:sz w:val="24"/>
          <w:szCs w:val="24"/>
          <w:lang w:val="pl-PL"/>
        </w:rPr>
        <w:t>I</w:t>
      </w:r>
      <w:r w:rsidR="004B6690">
        <w:rPr>
          <w:rFonts w:cstheme="minorHAnsi"/>
          <w:sz w:val="24"/>
          <w:szCs w:val="24"/>
          <w:lang w:val="pl-PL"/>
        </w:rPr>
        <w:t>z</w:t>
      </w:r>
      <w:r w:rsidR="004B6690" w:rsidRPr="002735FC">
        <w:rPr>
          <w:rFonts w:cstheme="minorHAnsi"/>
          <w:sz w:val="24"/>
          <w:szCs w:val="24"/>
          <w:lang w:val="pl-PL"/>
        </w:rPr>
        <w:t>o</w:t>
      </w:r>
      <w:r w:rsidR="004B6690">
        <w:rPr>
          <w:rFonts w:cstheme="minorHAnsi"/>
          <w:sz w:val="24"/>
          <w:szCs w:val="24"/>
          <w:lang w:val="pl-PL"/>
        </w:rPr>
        <w:t>l</w:t>
      </w:r>
      <w:r w:rsidR="004B6690" w:rsidRPr="002735FC">
        <w:rPr>
          <w:rFonts w:cstheme="minorHAnsi"/>
          <w:sz w:val="24"/>
          <w:szCs w:val="24"/>
          <w:lang w:val="pl-PL"/>
        </w:rPr>
        <w:t>aty</w:t>
      </w:r>
      <w:proofErr w:type="spellEnd"/>
      <w:r w:rsidR="004B6690" w:rsidRPr="002735FC">
        <w:rPr>
          <w:rFonts w:cstheme="minorHAnsi"/>
          <w:sz w:val="24"/>
          <w:szCs w:val="24"/>
          <w:lang w:val="pl-PL"/>
        </w:rPr>
        <w:t xml:space="preserve"> testowano na zestawie różnicującym składającym się z 23 odmian/linii, w których</w:t>
      </w:r>
      <w:r w:rsidR="004B6690">
        <w:rPr>
          <w:rFonts w:cstheme="minorHAnsi"/>
          <w:sz w:val="24"/>
          <w:szCs w:val="24"/>
          <w:lang w:val="pl-PL"/>
        </w:rPr>
        <w:t xml:space="preserve"> wcześniej</w:t>
      </w:r>
      <w:r w:rsidR="004B6690" w:rsidRPr="002735FC">
        <w:rPr>
          <w:rFonts w:cstheme="minorHAnsi"/>
          <w:sz w:val="24"/>
          <w:szCs w:val="24"/>
          <w:lang w:val="pl-PL"/>
        </w:rPr>
        <w:t xml:space="preserve"> ziden</w:t>
      </w:r>
      <w:r w:rsidR="004B6690">
        <w:rPr>
          <w:rFonts w:cstheme="minorHAnsi"/>
          <w:sz w:val="24"/>
          <w:szCs w:val="24"/>
          <w:lang w:val="pl-PL"/>
        </w:rPr>
        <w:t>t</w:t>
      </w:r>
      <w:r w:rsidR="004B6690" w:rsidRPr="002735FC">
        <w:rPr>
          <w:rFonts w:cstheme="minorHAnsi"/>
          <w:sz w:val="24"/>
          <w:szCs w:val="24"/>
          <w:lang w:val="pl-PL"/>
        </w:rPr>
        <w:t xml:space="preserve">yfikowano </w:t>
      </w:r>
      <w:proofErr w:type="spellStart"/>
      <w:r w:rsidR="004B6690" w:rsidRPr="002735FC">
        <w:rPr>
          <w:rFonts w:cstheme="minorHAnsi"/>
          <w:sz w:val="24"/>
          <w:szCs w:val="24"/>
          <w:lang w:val="pl-PL"/>
        </w:rPr>
        <w:t>loci</w:t>
      </w:r>
      <w:proofErr w:type="spellEnd"/>
      <w:r w:rsidR="004B6690" w:rsidRPr="002735FC">
        <w:rPr>
          <w:rFonts w:cstheme="minorHAnsi"/>
          <w:sz w:val="24"/>
          <w:szCs w:val="24"/>
          <w:lang w:val="pl-PL"/>
        </w:rPr>
        <w:t xml:space="preserve"> odporności na STB oraz dwóch odmian podatnych</w:t>
      </w:r>
      <w:r w:rsidR="004B6690">
        <w:rPr>
          <w:rFonts w:cstheme="minorHAnsi"/>
          <w:sz w:val="24"/>
          <w:szCs w:val="24"/>
          <w:lang w:val="pl-PL"/>
        </w:rPr>
        <w:t xml:space="preserve">. </w:t>
      </w:r>
      <w:r w:rsidR="004B6690" w:rsidRPr="00A878C8">
        <w:rPr>
          <w:rFonts w:cstheme="minorHAnsi"/>
          <w:sz w:val="24"/>
          <w:szCs w:val="24"/>
          <w:lang w:val="pl-PL"/>
        </w:rPr>
        <w:t>Rośliny oceniano pod względem procentu pokrycia powierzchni drugiego liścia nekrozą (NEC) oraz owocnikami grzyba (</w:t>
      </w:r>
      <w:proofErr w:type="spellStart"/>
      <w:r w:rsidR="004B6690" w:rsidRPr="00A878C8">
        <w:rPr>
          <w:rFonts w:cstheme="minorHAnsi"/>
          <w:sz w:val="24"/>
          <w:szCs w:val="24"/>
          <w:lang w:val="pl-PL"/>
        </w:rPr>
        <w:t>piknidiami</w:t>
      </w:r>
      <w:proofErr w:type="spellEnd"/>
      <w:r w:rsidR="004B6690" w:rsidRPr="00A878C8">
        <w:rPr>
          <w:rFonts w:cstheme="minorHAnsi"/>
          <w:sz w:val="24"/>
          <w:szCs w:val="24"/>
          <w:lang w:val="pl-PL"/>
        </w:rPr>
        <w:t>)(PYC)</w:t>
      </w:r>
      <w:r w:rsidR="004B6690">
        <w:rPr>
          <w:rFonts w:cstheme="minorHAnsi"/>
          <w:sz w:val="24"/>
          <w:szCs w:val="24"/>
          <w:lang w:val="pl-PL"/>
        </w:rPr>
        <w:t xml:space="preserve">. </w:t>
      </w:r>
      <w:r w:rsidR="004B6690" w:rsidRPr="004B6690">
        <w:rPr>
          <w:rFonts w:cstheme="minorHAnsi"/>
          <w:sz w:val="24"/>
          <w:szCs w:val="24"/>
          <w:lang w:val="pl-PL"/>
        </w:rPr>
        <w:t xml:space="preserve">Najmniej wirulentnym </w:t>
      </w:r>
      <w:proofErr w:type="spellStart"/>
      <w:r w:rsidR="004B6690" w:rsidRPr="004B6690">
        <w:rPr>
          <w:rFonts w:cstheme="minorHAnsi"/>
          <w:sz w:val="24"/>
          <w:szCs w:val="24"/>
          <w:lang w:val="pl-PL"/>
        </w:rPr>
        <w:t>izolatem</w:t>
      </w:r>
      <w:proofErr w:type="spellEnd"/>
      <w:r w:rsidR="004B6690" w:rsidRPr="004B6690">
        <w:rPr>
          <w:rFonts w:cstheme="minorHAnsi"/>
          <w:sz w:val="24"/>
          <w:szCs w:val="24"/>
          <w:lang w:val="pl-PL"/>
        </w:rPr>
        <w:t xml:space="preserve">, pod względem obu parametrów chorobowych, okazał się być </w:t>
      </w:r>
      <w:proofErr w:type="spellStart"/>
      <w:r w:rsidR="004B6690" w:rsidRPr="004B6690">
        <w:rPr>
          <w:rFonts w:cstheme="minorHAnsi"/>
          <w:sz w:val="24"/>
          <w:szCs w:val="24"/>
          <w:lang w:val="pl-PL"/>
        </w:rPr>
        <w:t>izolat</w:t>
      </w:r>
      <w:proofErr w:type="spellEnd"/>
      <w:r w:rsidR="004B6690" w:rsidRPr="004B6690">
        <w:rPr>
          <w:rFonts w:cstheme="minorHAnsi"/>
          <w:sz w:val="24"/>
          <w:szCs w:val="24"/>
          <w:lang w:val="pl-PL"/>
        </w:rPr>
        <w:t xml:space="preserve"> St-9 (Radzików).</w:t>
      </w:r>
      <w:r w:rsidR="004B6690">
        <w:rPr>
          <w:rFonts w:cstheme="minorHAnsi"/>
          <w:sz w:val="24"/>
          <w:szCs w:val="24"/>
          <w:lang w:val="pl-PL"/>
        </w:rPr>
        <w:t xml:space="preserve"> </w:t>
      </w:r>
      <w:r w:rsidR="004B6690" w:rsidRPr="004B6690">
        <w:rPr>
          <w:rFonts w:cstheme="minorHAnsi"/>
          <w:sz w:val="24"/>
          <w:szCs w:val="24"/>
          <w:lang w:val="pl-PL"/>
        </w:rPr>
        <w:t xml:space="preserve">Najbardziej wirulentnym pod względem obu parametrów okazał się natomiast </w:t>
      </w:r>
      <w:proofErr w:type="spellStart"/>
      <w:r w:rsidR="004B6690" w:rsidRPr="004B6690">
        <w:rPr>
          <w:rFonts w:cstheme="minorHAnsi"/>
          <w:sz w:val="24"/>
          <w:szCs w:val="24"/>
          <w:lang w:val="pl-PL"/>
        </w:rPr>
        <w:t>izolat</w:t>
      </w:r>
      <w:proofErr w:type="spellEnd"/>
      <w:r w:rsidR="004B6690" w:rsidRPr="004B6690">
        <w:rPr>
          <w:rFonts w:cstheme="minorHAnsi"/>
          <w:sz w:val="24"/>
          <w:szCs w:val="24"/>
          <w:lang w:val="pl-PL"/>
        </w:rPr>
        <w:t xml:space="preserve"> St-8 (Choryń).</w:t>
      </w:r>
      <w:r w:rsidR="004B6690">
        <w:rPr>
          <w:rFonts w:cstheme="minorHAnsi"/>
          <w:sz w:val="24"/>
          <w:szCs w:val="24"/>
          <w:lang w:val="pl-PL"/>
        </w:rPr>
        <w:t xml:space="preserve"> Najbardziej odporną z testowanych linii pszenicy była linia M3 </w:t>
      </w:r>
      <w:proofErr w:type="spellStart"/>
      <w:r w:rsidR="004B6690">
        <w:rPr>
          <w:rFonts w:cstheme="minorHAnsi"/>
          <w:sz w:val="24"/>
          <w:szCs w:val="24"/>
          <w:lang w:val="pl-PL"/>
        </w:rPr>
        <w:t>Synthetic</w:t>
      </w:r>
      <w:proofErr w:type="spellEnd"/>
      <w:r w:rsidR="004B6690">
        <w:rPr>
          <w:rFonts w:cstheme="minorHAnsi"/>
          <w:sz w:val="24"/>
          <w:szCs w:val="24"/>
          <w:lang w:val="pl-PL"/>
        </w:rPr>
        <w:t xml:space="preserve"> posiadająca geny odporności </w:t>
      </w:r>
      <w:r w:rsidR="004B6690" w:rsidRPr="004B6690">
        <w:rPr>
          <w:rFonts w:cstheme="minorHAnsi"/>
          <w:i/>
          <w:iCs/>
          <w:sz w:val="24"/>
          <w:szCs w:val="24"/>
          <w:lang w:val="pl-PL"/>
        </w:rPr>
        <w:t>Stb16q</w:t>
      </w:r>
      <w:r w:rsidR="004B6690">
        <w:rPr>
          <w:rFonts w:cstheme="minorHAnsi"/>
          <w:sz w:val="24"/>
          <w:szCs w:val="24"/>
          <w:lang w:val="pl-PL"/>
        </w:rPr>
        <w:t xml:space="preserve"> i </w:t>
      </w:r>
      <w:r w:rsidR="004B6690" w:rsidRPr="004B6690">
        <w:rPr>
          <w:rFonts w:cstheme="minorHAnsi"/>
          <w:i/>
          <w:iCs/>
          <w:sz w:val="24"/>
          <w:szCs w:val="24"/>
          <w:lang w:val="pl-PL"/>
        </w:rPr>
        <w:t>Stb17</w:t>
      </w:r>
      <w:r w:rsidR="004B6690">
        <w:rPr>
          <w:rFonts w:cstheme="minorHAnsi"/>
          <w:sz w:val="24"/>
          <w:szCs w:val="24"/>
          <w:lang w:val="pl-PL"/>
        </w:rPr>
        <w:t>.</w:t>
      </w:r>
    </w:p>
    <w:p w14:paraId="56150842" w14:textId="44891E72" w:rsidR="004B6690" w:rsidRDefault="004B6690" w:rsidP="002427A7">
      <w:pPr>
        <w:spacing w:after="0" w:line="22" w:lineRule="atLeast"/>
        <w:ind w:firstLine="720"/>
        <w:jc w:val="both"/>
        <w:rPr>
          <w:rFonts w:cstheme="minorHAnsi"/>
          <w:sz w:val="24"/>
          <w:szCs w:val="24"/>
          <w:lang w:val="pl-PL"/>
        </w:rPr>
      </w:pPr>
      <w:r w:rsidRPr="004B6690">
        <w:rPr>
          <w:rFonts w:cstheme="minorHAnsi"/>
          <w:b/>
          <w:bCs/>
          <w:sz w:val="24"/>
          <w:szCs w:val="24"/>
          <w:lang w:val="pl-PL"/>
        </w:rPr>
        <w:t>Ad. 2)</w:t>
      </w:r>
      <w:r>
        <w:rPr>
          <w:rFonts w:cstheme="minorHAnsi"/>
          <w:sz w:val="24"/>
          <w:szCs w:val="24"/>
          <w:lang w:val="pl-PL"/>
        </w:rPr>
        <w:t xml:space="preserve"> </w:t>
      </w:r>
      <w:r w:rsidRPr="004765B7">
        <w:rPr>
          <w:rFonts w:cstheme="minorHAnsi"/>
          <w:sz w:val="24"/>
          <w:szCs w:val="24"/>
          <w:lang w:val="pl-PL"/>
        </w:rPr>
        <w:t xml:space="preserve">Na potrzeby realizacji tematu, jesienią </w:t>
      </w:r>
      <w:r>
        <w:rPr>
          <w:rFonts w:cstheme="minorHAnsi"/>
          <w:sz w:val="24"/>
          <w:szCs w:val="24"/>
          <w:lang w:val="pl-PL"/>
        </w:rPr>
        <w:t xml:space="preserve">2021 </w:t>
      </w:r>
      <w:r w:rsidRPr="004765B7">
        <w:rPr>
          <w:rFonts w:cstheme="minorHAnsi"/>
          <w:sz w:val="24"/>
          <w:szCs w:val="24"/>
          <w:lang w:val="pl-PL"/>
        </w:rPr>
        <w:t>roku w Radzikowie założono doświadczenie</w:t>
      </w:r>
      <w:r w:rsidR="00DC5F47">
        <w:rPr>
          <w:rFonts w:cstheme="minorHAnsi"/>
          <w:sz w:val="24"/>
          <w:szCs w:val="24"/>
          <w:lang w:val="pl-PL"/>
        </w:rPr>
        <w:t xml:space="preserve"> </w:t>
      </w:r>
      <w:r w:rsidR="00E95F26">
        <w:rPr>
          <w:rFonts w:cstheme="minorHAnsi"/>
          <w:sz w:val="24"/>
          <w:szCs w:val="24"/>
          <w:lang w:val="pl-PL"/>
        </w:rPr>
        <w:t>obejmujące</w:t>
      </w:r>
      <w:r w:rsidR="00DC5F47">
        <w:rPr>
          <w:rFonts w:cstheme="minorHAnsi"/>
          <w:sz w:val="24"/>
          <w:szCs w:val="24"/>
          <w:lang w:val="pl-PL"/>
        </w:rPr>
        <w:t xml:space="preserve"> 200 odmian/linii pszenicy ozimej, posianych</w:t>
      </w:r>
      <w:r w:rsidRPr="004765B7">
        <w:rPr>
          <w:rFonts w:cstheme="minorHAnsi"/>
          <w:sz w:val="24"/>
          <w:szCs w:val="24"/>
          <w:lang w:val="pl-PL"/>
        </w:rPr>
        <w:t xml:space="preserve"> w układzie dwóch losowych bloków (dwa powtórzenia).</w:t>
      </w:r>
      <w:r>
        <w:rPr>
          <w:rFonts w:cstheme="minorHAnsi"/>
          <w:sz w:val="24"/>
          <w:szCs w:val="24"/>
          <w:lang w:val="pl-PL"/>
        </w:rPr>
        <w:t xml:space="preserve"> Wiosną rośliny z wykształconymi w pełni liśćmi flagowymi zakażano mieszaniną </w:t>
      </w:r>
      <w:proofErr w:type="spellStart"/>
      <w:r>
        <w:rPr>
          <w:rFonts w:cstheme="minorHAnsi"/>
          <w:sz w:val="24"/>
          <w:szCs w:val="24"/>
          <w:lang w:val="pl-PL"/>
        </w:rPr>
        <w:t>izolatów</w:t>
      </w:r>
      <w:proofErr w:type="spellEnd"/>
      <w:r>
        <w:rPr>
          <w:rFonts w:cstheme="minorHAnsi"/>
          <w:sz w:val="24"/>
          <w:szCs w:val="24"/>
          <w:lang w:val="pl-PL"/>
        </w:rPr>
        <w:t xml:space="preserve"> </w:t>
      </w:r>
      <w:r w:rsidRPr="004B6690">
        <w:rPr>
          <w:rFonts w:cstheme="minorHAnsi"/>
          <w:i/>
          <w:iCs/>
          <w:sz w:val="24"/>
          <w:szCs w:val="24"/>
          <w:lang w:val="pl-PL"/>
        </w:rPr>
        <w:t xml:space="preserve">Z. </w:t>
      </w:r>
      <w:proofErr w:type="spellStart"/>
      <w:r w:rsidRPr="004B6690">
        <w:rPr>
          <w:rFonts w:cstheme="minorHAnsi"/>
          <w:i/>
          <w:iCs/>
          <w:sz w:val="24"/>
          <w:szCs w:val="24"/>
          <w:lang w:val="pl-PL"/>
        </w:rPr>
        <w:t>tritici</w:t>
      </w:r>
      <w:proofErr w:type="spellEnd"/>
      <w:r>
        <w:rPr>
          <w:rFonts w:cstheme="minorHAnsi"/>
          <w:sz w:val="24"/>
          <w:szCs w:val="24"/>
          <w:lang w:val="pl-PL"/>
        </w:rPr>
        <w:t xml:space="preserve"> z własnej kolekcji. </w:t>
      </w:r>
      <w:r w:rsidRPr="004B6690">
        <w:rPr>
          <w:rFonts w:cstheme="minorHAnsi"/>
          <w:sz w:val="24"/>
          <w:szCs w:val="24"/>
          <w:lang w:val="pl-PL"/>
        </w:rPr>
        <w:t>Ocenie podlegało 8-10 liści flagowych/obiekt. Liście oceniane były pod względem procentu pokrycia powierzchni liścia nekrozą (NEC) oraz procentu pokrycia powierzchni liścia owocnikami grzyba (</w:t>
      </w:r>
      <w:proofErr w:type="spellStart"/>
      <w:r w:rsidRPr="004B6690">
        <w:rPr>
          <w:rFonts w:cstheme="minorHAnsi"/>
          <w:sz w:val="24"/>
          <w:szCs w:val="24"/>
          <w:lang w:val="pl-PL"/>
        </w:rPr>
        <w:t>piknidiami</w:t>
      </w:r>
      <w:proofErr w:type="spellEnd"/>
      <w:r w:rsidRPr="004B6690">
        <w:rPr>
          <w:rFonts w:cstheme="minorHAnsi"/>
          <w:sz w:val="24"/>
          <w:szCs w:val="24"/>
          <w:lang w:val="pl-PL"/>
        </w:rPr>
        <w:t>) (PYC).</w:t>
      </w:r>
      <w:r>
        <w:rPr>
          <w:rFonts w:cstheme="minorHAnsi"/>
          <w:sz w:val="24"/>
          <w:szCs w:val="24"/>
          <w:lang w:val="pl-PL"/>
        </w:rPr>
        <w:t xml:space="preserve"> </w:t>
      </w:r>
      <w:r w:rsidRPr="004B6690">
        <w:rPr>
          <w:rFonts w:cstheme="minorHAnsi"/>
          <w:sz w:val="24"/>
          <w:szCs w:val="24"/>
          <w:lang w:val="pl-PL"/>
        </w:rPr>
        <w:t>Przy zastosowaniu analizy skupień (AHC) wykonano grupowanie odmian wykazujących podobny poziom reakcji. W wyniku analizy otrzymano 3 grupy obiektów. Najliczniejsza grupa zawierała 101 genotypów charakteryzujących się niskim porażeniem pod względem obu parametrów chorobowych – (NEC do 29,7%, PYC do 10,0%).</w:t>
      </w:r>
    </w:p>
    <w:p w14:paraId="62EF8CBD" w14:textId="7363814A" w:rsidR="004B6690" w:rsidRPr="00DC5F47" w:rsidRDefault="004B6690" w:rsidP="00650455">
      <w:pPr>
        <w:spacing w:after="0" w:line="22" w:lineRule="atLeast"/>
        <w:ind w:firstLine="720"/>
        <w:jc w:val="both"/>
        <w:rPr>
          <w:rFonts w:cstheme="minorHAnsi"/>
          <w:sz w:val="24"/>
          <w:szCs w:val="24"/>
          <w:lang w:val="pl-PL"/>
        </w:rPr>
      </w:pPr>
      <w:r w:rsidRPr="00650455">
        <w:rPr>
          <w:rFonts w:cstheme="minorHAnsi"/>
          <w:b/>
          <w:bCs/>
          <w:sz w:val="24"/>
          <w:szCs w:val="24"/>
          <w:lang w:val="pl-PL"/>
        </w:rPr>
        <w:t>Ad. 3)</w:t>
      </w:r>
      <w:r>
        <w:rPr>
          <w:rFonts w:cstheme="minorHAnsi"/>
          <w:sz w:val="24"/>
          <w:szCs w:val="24"/>
          <w:lang w:val="pl-PL"/>
        </w:rPr>
        <w:t xml:space="preserve"> </w:t>
      </w:r>
      <w:r w:rsidR="00DC5F47">
        <w:rPr>
          <w:rFonts w:cstheme="minorHAnsi"/>
          <w:sz w:val="24"/>
          <w:szCs w:val="24"/>
          <w:lang w:val="pl-PL"/>
        </w:rPr>
        <w:t>Do selekcji wykorzystano DNA wyizolowane z siewek</w:t>
      </w:r>
      <w:r w:rsidR="00DC5F47" w:rsidRPr="00DC5F47">
        <w:rPr>
          <w:rFonts w:cstheme="minorHAnsi"/>
          <w:sz w:val="24"/>
          <w:szCs w:val="24"/>
          <w:lang w:val="pl-PL"/>
        </w:rPr>
        <w:t xml:space="preserve"> </w:t>
      </w:r>
      <w:r w:rsidR="00DC5F47">
        <w:rPr>
          <w:rFonts w:cstheme="minorHAnsi"/>
          <w:sz w:val="24"/>
          <w:szCs w:val="24"/>
          <w:lang w:val="pl-PL"/>
        </w:rPr>
        <w:t xml:space="preserve">roślin pokolenia </w:t>
      </w:r>
      <w:r w:rsidR="00DC5F47" w:rsidRPr="00DC5F47">
        <w:rPr>
          <w:rFonts w:cstheme="minorHAnsi"/>
          <w:sz w:val="24"/>
          <w:szCs w:val="24"/>
          <w:lang w:val="pl-PL"/>
        </w:rPr>
        <w:t>F</w:t>
      </w:r>
      <w:r w:rsidR="00DC5F47" w:rsidRPr="00DC5F47">
        <w:rPr>
          <w:rFonts w:cstheme="minorHAnsi"/>
          <w:sz w:val="24"/>
          <w:szCs w:val="24"/>
          <w:vertAlign w:val="subscript"/>
          <w:lang w:val="pl-PL"/>
        </w:rPr>
        <w:t>1</w:t>
      </w:r>
      <w:r w:rsidR="00DC5F47" w:rsidRPr="00DC5F47">
        <w:rPr>
          <w:rFonts w:cstheme="minorHAnsi"/>
          <w:sz w:val="24"/>
          <w:szCs w:val="24"/>
          <w:lang w:val="pl-PL"/>
        </w:rPr>
        <w:t>BC</w:t>
      </w:r>
      <w:r w:rsidR="00DC5F47" w:rsidRPr="00DC5F47">
        <w:rPr>
          <w:rFonts w:cstheme="minorHAnsi"/>
          <w:sz w:val="24"/>
          <w:szCs w:val="24"/>
          <w:vertAlign w:val="subscript"/>
          <w:lang w:val="pl-PL"/>
        </w:rPr>
        <w:t>1</w:t>
      </w:r>
      <w:r w:rsidR="00DC5F47">
        <w:rPr>
          <w:rFonts w:cstheme="minorHAnsi"/>
          <w:sz w:val="24"/>
          <w:szCs w:val="24"/>
          <w:lang w:val="pl-PL"/>
        </w:rPr>
        <w:t>. Selekcję prowadzono na podstawie</w:t>
      </w:r>
      <w:r w:rsidR="00650455">
        <w:rPr>
          <w:rFonts w:cstheme="minorHAnsi"/>
          <w:sz w:val="24"/>
          <w:szCs w:val="24"/>
          <w:lang w:val="pl-PL"/>
        </w:rPr>
        <w:t xml:space="preserve"> polimorfizmu </w:t>
      </w:r>
      <w:r w:rsidR="00650455" w:rsidRPr="00650455">
        <w:rPr>
          <w:rFonts w:cstheme="minorHAnsi"/>
          <w:sz w:val="24"/>
          <w:szCs w:val="24"/>
          <w:lang w:val="pl-PL"/>
        </w:rPr>
        <w:t xml:space="preserve">wybranych markerów sprzężonych ze zidentyfikowanymi wcześniej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loci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odporności na STB</w:t>
      </w:r>
      <w:r w:rsidR="00650455">
        <w:rPr>
          <w:rFonts w:cstheme="minorHAnsi"/>
          <w:sz w:val="24"/>
          <w:szCs w:val="24"/>
          <w:lang w:val="pl-PL"/>
        </w:rPr>
        <w:t xml:space="preserve">. </w:t>
      </w:r>
      <w:r w:rsidR="00650455" w:rsidRPr="00650455">
        <w:rPr>
          <w:rFonts w:cstheme="minorHAnsi"/>
          <w:sz w:val="24"/>
          <w:szCs w:val="24"/>
          <w:lang w:val="pl-PL"/>
        </w:rPr>
        <w:t xml:space="preserve">Spośród przetestowanych 20 markerów SSR, 5 wykazało polimorfizm pomiędzy rodzicami dla kombinacji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Mandub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× Arkadia oraz 3 dla kombinacji M3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Synthetic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×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Patras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>.</w:t>
      </w:r>
      <w:r w:rsidR="00650455">
        <w:rPr>
          <w:rFonts w:cstheme="minorHAnsi"/>
          <w:sz w:val="24"/>
          <w:szCs w:val="24"/>
          <w:lang w:val="pl-PL"/>
        </w:rPr>
        <w:t xml:space="preserve"> </w:t>
      </w:r>
      <w:r w:rsidR="00650455" w:rsidRPr="00650455">
        <w:rPr>
          <w:rFonts w:cstheme="minorHAnsi"/>
          <w:sz w:val="24"/>
          <w:szCs w:val="24"/>
          <w:lang w:val="pl-PL"/>
        </w:rPr>
        <w:t xml:space="preserve">Z 50 markerów SNP, tylko jeden okazał się być </w:t>
      </w:r>
      <w:r w:rsidR="00650455" w:rsidRPr="00650455">
        <w:rPr>
          <w:rFonts w:cstheme="minorHAnsi"/>
          <w:sz w:val="24"/>
          <w:szCs w:val="24"/>
          <w:lang w:val="pl-PL"/>
        </w:rPr>
        <w:lastRenderedPageBreak/>
        <w:t xml:space="preserve">polimorficzny pomiędzy odmianami M3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Synthetic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i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Patras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. Dla kombinacji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Mandub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× Arkadia nie udało się wykazać polimorfizmu dla żadnego z opracowanych markerów SNP.</w:t>
      </w:r>
      <w:r w:rsidR="00650455">
        <w:rPr>
          <w:rFonts w:cstheme="minorHAnsi"/>
          <w:sz w:val="24"/>
          <w:szCs w:val="24"/>
          <w:lang w:val="pl-PL"/>
        </w:rPr>
        <w:t xml:space="preserve"> </w:t>
      </w:r>
      <w:r w:rsidR="00650455" w:rsidRPr="00650455">
        <w:rPr>
          <w:rFonts w:cstheme="minorHAnsi"/>
          <w:sz w:val="24"/>
          <w:szCs w:val="24"/>
          <w:lang w:val="pl-PL"/>
        </w:rPr>
        <w:t xml:space="preserve">Do dalszych krzyżowań wybrano rośliny posiadające jak największą liczbę przebadanych markerów w typie rodzica dawcy. Jeżeli liczba takich roślin przekraczała założone 10 kierowano się wynikami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genotypowania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na platformie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DArTseq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, wybierając rośliny z jak najwyższą zawartością genomu rodzica wypierającego. Dla kombinacji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Mandub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× Arkadia obiekty wybrane do dalszego etapu krzyżowań zawierały od 41 do 61% genomu odmiany Arkadia, natomiast dla kombinacji M3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Synthetic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×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Patras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wybrano potomstwo o zawartości genomu odmiany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Patras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mieszczącej się w przedziale 72 – 84%.</w:t>
      </w:r>
      <w:r w:rsidR="00650455">
        <w:rPr>
          <w:rFonts w:cstheme="minorHAnsi"/>
          <w:sz w:val="24"/>
          <w:szCs w:val="24"/>
          <w:lang w:val="pl-PL"/>
        </w:rPr>
        <w:t xml:space="preserve"> </w:t>
      </w:r>
      <w:r w:rsidR="00650455" w:rsidRPr="00650455">
        <w:rPr>
          <w:rFonts w:cstheme="minorHAnsi"/>
          <w:sz w:val="24"/>
          <w:szCs w:val="24"/>
          <w:lang w:val="pl-PL"/>
        </w:rPr>
        <w:t xml:space="preserve">Wybrane rośliny przekazano hodowcom Spółek Hodowli Roślin w celu wykonania kolejnego etapu krzyżowań (kombinacja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Mandub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× Arkadia – Poznańska Hodowla Roślin; kombinacja M3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synthetic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× </w:t>
      </w:r>
      <w:proofErr w:type="spellStart"/>
      <w:r w:rsidR="00650455" w:rsidRPr="00650455">
        <w:rPr>
          <w:rFonts w:cstheme="minorHAnsi"/>
          <w:sz w:val="24"/>
          <w:szCs w:val="24"/>
          <w:lang w:val="pl-PL"/>
        </w:rPr>
        <w:t>Patras</w:t>
      </w:r>
      <w:proofErr w:type="spellEnd"/>
      <w:r w:rsidR="00650455" w:rsidRPr="00650455">
        <w:rPr>
          <w:rFonts w:cstheme="minorHAnsi"/>
          <w:sz w:val="24"/>
          <w:szCs w:val="24"/>
          <w:lang w:val="pl-PL"/>
        </w:rPr>
        <w:t xml:space="preserve"> – Hodowla Roślin Strzelce) i uzyskan</w:t>
      </w:r>
      <w:r w:rsidR="00650455">
        <w:rPr>
          <w:rFonts w:cstheme="minorHAnsi"/>
          <w:sz w:val="24"/>
          <w:szCs w:val="24"/>
          <w:lang w:val="pl-PL"/>
        </w:rPr>
        <w:t>o</w:t>
      </w:r>
      <w:r w:rsidR="00650455" w:rsidRPr="00650455">
        <w:rPr>
          <w:rFonts w:cstheme="minorHAnsi"/>
          <w:sz w:val="24"/>
          <w:szCs w:val="24"/>
          <w:lang w:val="pl-PL"/>
        </w:rPr>
        <w:t xml:space="preserve"> pokoleni</w:t>
      </w:r>
      <w:r w:rsidR="00B05C98">
        <w:rPr>
          <w:rFonts w:cstheme="minorHAnsi"/>
          <w:sz w:val="24"/>
          <w:szCs w:val="24"/>
          <w:lang w:val="pl-PL"/>
        </w:rPr>
        <w:t>e</w:t>
      </w:r>
      <w:r w:rsidR="00650455" w:rsidRPr="00650455">
        <w:rPr>
          <w:rFonts w:ascii="Times New Roman" w:eastAsia="Times New Roman" w:hAnsi="Times New Roman" w:cs="Times New Roman"/>
          <w:noProof/>
          <w:szCs w:val="24"/>
          <w:lang w:val="pl-PL"/>
        </w:rPr>
        <w:t xml:space="preserve"> </w:t>
      </w:r>
      <w:r w:rsidR="00650455" w:rsidRPr="00650455">
        <w:rPr>
          <w:rFonts w:cstheme="minorHAnsi"/>
          <w:sz w:val="24"/>
          <w:szCs w:val="24"/>
          <w:lang w:val="pl-PL"/>
        </w:rPr>
        <w:t>F</w:t>
      </w:r>
      <w:r w:rsidR="00650455" w:rsidRPr="00650455">
        <w:rPr>
          <w:rFonts w:cstheme="minorHAnsi"/>
          <w:sz w:val="24"/>
          <w:szCs w:val="24"/>
          <w:vertAlign w:val="subscript"/>
          <w:lang w:val="pl-PL"/>
        </w:rPr>
        <w:t>1</w:t>
      </w:r>
      <w:r w:rsidR="00650455" w:rsidRPr="00650455">
        <w:rPr>
          <w:rFonts w:cstheme="minorHAnsi"/>
          <w:sz w:val="24"/>
          <w:szCs w:val="24"/>
          <w:lang w:val="pl-PL"/>
        </w:rPr>
        <w:t>BC</w:t>
      </w:r>
      <w:r w:rsidR="00650455" w:rsidRPr="00650455">
        <w:rPr>
          <w:rFonts w:cstheme="minorHAnsi"/>
          <w:sz w:val="24"/>
          <w:szCs w:val="24"/>
          <w:vertAlign w:val="subscript"/>
          <w:lang w:val="pl-PL"/>
        </w:rPr>
        <w:t>2</w:t>
      </w:r>
      <w:r w:rsidR="00650455" w:rsidRPr="00650455">
        <w:rPr>
          <w:rFonts w:cstheme="minorHAnsi"/>
          <w:sz w:val="24"/>
          <w:szCs w:val="24"/>
          <w:lang w:val="pl-PL"/>
        </w:rPr>
        <w:t>.</w:t>
      </w:r>
    </w:p>
    <w:sectPr w:rsidR="004B6690" w:rsidRPr="00DC5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09"/>
    <w:rsid w:val="002427A7"/>
    <w:rsid w:val="003159C9"/>
    <w:rsid w:val="00473225"/>
    <w:rsid w:val="004B6690"/>
    <w:rsid w:val="00650455"/>
    <w:rsid w:val="00817CC5"/>
    <w:rsid w:val="008E72A7"/>
    <w:rsid w:val="00B05C98"/>
    <w:rsid w:val="00B97D0E"/>
    <w:rsid w:val="00DC5F47"/>
    <w:rsid w:val="00E95F26"/>
    <w:rsid w:val="00F1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1CF8"/>
  <w15:chartTrackingRefBased/>
  <w15:docId w15:val="{52C73799-A252-4036-B475-C77EF23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009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5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5F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5F4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F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F4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Piaskowska</dc:creator>
  <cp:keywords/>
  <dc:description/>
  <cp:lastModifiedBy>Dominika Piaskowska</cp:lastModifiedBy>
  <cp:revision>4</cp:revision>
  <dcterms:created xsi:type="dcterms:W3CDTF">2022-12-09T13:59:00Z</dcterms:created>
  <dcterms:modified xsi:type="dcterms:W3CDTF">2022-12-16T17:27:00Z</dcterms:modified>
</cp:coreProperties>
</file>